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7572FC" w:rsidP="007572FC">
      <w:pPr>
        <w:pStyle w:val="Docketnumber"/>
      </w:pPr>
      <w:r>
        <w:t xml:space="preserve">PUC DOCKET NO. </w:t>
      </w:r>
      <w:r w:rsidR="000608FC">
        <w:t>46069</w:t>
      </w:r>
      <w:r>
        <w:br/>
        <w:t>SOAH DOCKET NO. 473-1</w:t>
      </w:r>
      <w:r w:rsidR="000608FC">
        <w:t>7</w:t>
      </w:r>
      <w:r>
        <w:t>-</w:t>
      </w:r>
      <w:r w:rsidR="000608FC">
        <w:t>1434.WS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608FC" w:rsidP="000608FC">
            <w:pPr>
              <w:pStyle w:val="Docketstyle"/>
            </w:pPr>
            <w:r>
              <w:t>APPLICATION OF NITSCH &amp; SON UTILITY COMPANY, INC. FOR A RATE/TARIFF CHANGE</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46644C" w:rsidP="00C54659">
      <w:pPr>
        <w:pStyle w:val="Titleoforder"/>
      </w:pPr>
      <w:r>
        <w:t>DRAFT PRELIMINARY ORDER</w:t>
      </w:r>
    </w:p>
    <w:p w:rsidR="00F01CB2" w:rsidRDefault="00D12B50" w:rsidP="008738BF">
      <w:pPr>
        <w:pStyle w:val="BodyText"/>
      </w:pPr>
      <w:r w:rsidRPr="00D12B50">
        <w:t xml:space="preserve">On June 16, 2016, </w:t>
      </w:r>
      <w:proofErr w:type="spellStart"/>
      <w:r w:rsidRPr="00D12B50">
        <w:t>Nitsch</w:t>
      </w:r>
      <w:proofErr w:type="spellEnd"/>
      <w:r w:rsidRPr="00D12B50">
        <w:t xml:space="preserve"> &amp; Son Utility Company, Inc. applied for a Class B rate and tariff change for water service under Certificate of Convenience and Necessity No. 11124 and sewer service under CCN No. 20446.  </w:t>
      </w:r>
    </w:p>
    <w:p w:rsidR="008A3090" w:rsidRPr="00D12B50" w:rsidRDefault="00E532FB" w:rsidP="008738BF">
      <w:pPr>
        <w:pStyle w:val="BodyText"/>
      </w:pPr>
      <w:r>
        <w:t xml:space="preserve">On November 23, 2016, Commission Staff recommended that this proceeding be referred to the State Office of Administrative Hearings </w:t>
      </w:r>
      <w:r w:rsidR="00F01CB2">
        <w:t xml:space="preserve">(SOAH) </w:t>
      </w:r>
      <w:r>
        <w:t xml:space="preserve">for an evidentiary hearing.  </w:t>
      </w:r>
      <w:r w:rsidR="00D12B50" w:rsidRPr="00D12B50">
        <w:t xml:space="preserve">On November 30, 2016, the Commission referred this proceeding to </w:t>
      </w:r>
      <w:r>
        <w:t>SOAH</w:t>
      </w:r>
      <w:r w:rsidR="00D12B50" w:rsidRPr="00D12B50">
        <w:t xml:space="preserve">.  </w:t>
      </w:r>
      <w:proofErr w:type="spellStart"/>
      <w:r w:rsidR="00CF4B99">
        <w:t>Nitsch</w:t>
      </w:r>
      <w:proofErr w:type="spellEnd"/>
      <w:r w:rsidR="00CF4B99">
        <w:t xml:space="preserve"> was directed and Commission Staff and other persons were allowed to file a list of issues to be addressed in the docket.</w:t>
      </w:r>
      <w:r w:rsidR="007A4197">
        <w:t xml:space="preserve">  </w:t>
      </w:r>
      <w:r w:rsidR="00D12B50" w:rsidRPr="00D12B50">
        <w:t xml:space="preserve">On December 20, 2016, Commission Staff timely filed a list of issues. </w:t>
      </w:r>
      <w:r w:rsidR="00F01CB2">
        <w:t xml:space="preserve"> </w:t>
      </w:r>
      <w:proofErr w:type="spellStart"/>
      <w:r w:rsidR="00F01CB2">
        <w:t>Nitsch</w:t>
      </w:r>
      <w:proofErr w:type="spellEnd"/>
      <w:r w:rsidR="00F01CB2">
        <w:t xml:space="preserve"> did not file a list of issues.</w:t>
      </w:r>
    </w:p>
    <w:p w:rsidR="008A3090" w:rsidRPr="00EC0C9F" w:rsidRDefault="00EC0C9F" w:rsidP="008738BF">
      <w:pPr>
        <w:pStyle w:val="BodyText"/>
      </w:pPr>
      <w:proofErr w:type="spellStart"/>
      <w:r w:rsidRPr="00EC0C9F">
        <w:t>Nitsch</w:t>
      </w:r>
      <w:proofErr w:type="spellEnd"/>
      <w:r w:rsidRPr="00EC0C9F">
        <w:t xml:space="preserve"> </w:t>
      </w:r>
      <w:r w:rsidR="004A1312">
        <w:t>states that it is a Class B utility.</w:t>
      </w:r>
      <w:r w:rsidR="004A1312">
        <w:rPr>
          <w:rStyle w:val="FootnoteReference"/>
        </w:rPr>
        <w:footnoteReference w:id="1"/>
      </w:r>
      <w:r w:rsidR="004A1312">
        <w:t xml:space="preserve">  In its application, </w:t>
      </w:r>
      <w:proofErr w:type="spellStart"/>
      <w:r w:rsidR="004A1312">
        <w:t>Nitsch</w:t>
      </w:r>
      <w:proofErr w:type="spellEnd"/>
      <w:r w:rsidR="004A1312">
        <w:t xml:space="preserve"> requests approval of annual revenue increases of $66,854 for water service and $64,040 for sewer service.</w:t>
      </w:r>
      <w:r w:rsidR="004A1312">
        <w:rPr>
          <w:rStyle w:val="FootnoteReference"/>
        </w:rPr>
        <w:footnoteReference w:id="2"/>
      </w:r>
      <w:r w:rsidR="004A1312">
        <w:t xml:space="preserve">  The proposed increases would affect </w:t>
      </w:r>
      <w:r w:rsidRPr="00EC0C9F">
        <w:t>approximately 600 connections in Houston.</w:t>
      </w:r>
      <w:r w:rsidRPr="00EC0C9F">
        <w:rPr>
          <w:rStyle w:val="FootnoteReference"/>
        </w:rPr>
        <w:footnoteReference w:id="3"/>
      </w:r>
      <w:r w:rsidRPr="00EC0C9F">
        <w:t xml:space="preserve">  In its application, </w:t>
      </w:r>
      <w:proofErr w:type="spellStart"/>
      <w:r w:rsidRPr="00EC0C9F">
        <w:t>Nitsch</w:t>
      </w:r>
      <w:proofErr w:type="spellEnd"/>
      <w:r w:rsidRPr="00EC0C9F">
        <w:t xml:space="preserve"> provides a billing comparison that shows that under its proposed rate increase, the monthly base rate for water service including zero gallons for a 5/8” or </w:t>
      </w:r>
      <w:r w:rsidR="006E6628">
        <w:t>3/4</w:t>
      </w:r>
      <w:r w:rsidRPr="00EC0C9F">
        <w:t>” meter would increase from $18.35 to $22.78.</w:t>
      </w:r>
      <w:r>
        <w:rPr>
          <w:rStyle w:val="FootnoteReference"/>
        </w:rPr>
        <w:footnoteReference w:id="4"/>
      </w:r>
      <w:r w:rsidRPr="00EC0C9F">
        <w:t xml:space="preserve">  For sewer service, the monthly base rate including zero gallons for a 5/8” or </w:t>
      </w:r>
      <w:r w:rsidR="006E6628">
        <w:t>3/4</w:t>
      </w:r>
      <w:r w:rsidRPr="00EC0C9F">
        <w:t>” meter would increase from $26.00 to $34.44.</w:t>
      </w:r>
      <w:r>
        <w:rPr>
          <w:rStyle w:val="FootnoteReference"/>
        </w:rPr>
        <w:footnoteReference w:id="5"/>
      </w:r>
      <w:r w:rsidRPr="00EC0C9F">
        <w:t xml:space="preserve"> </w:t>
      </w:r>
      <w:r w:rsidR="00E532FB">
        <w:t xml:space="preserve">  </w:t>
      </w:r>
      <w:proofErr w:type="spellStart"/>
      <w:r w:rsidR="00E532FB">
        <w:t>Nitsch</w:t>
      </w:r>
      <w:proofErr w:type="spellEnd"/>
      <w:r w:rsidR="00E532FB">
        <w:t xml:space="preserve"> does not propose to increase </w:t>
      </w:r>
      <w:proofErr w:type="spellStart"/>
      <w:r w:rsidR="00E532FB">
        <w:t>gallonage</w:t>
      </w:r>
      <w:proofErr w:type="spellEnd"/>
      <w:r w:rsidR="00E532FB">
        <w:t xml:space="preserve"> </w:t>
      </w:r>
      <w:r w:rsidR="00E532FB">
        <w:lastRenderedPageBreak/>
        <w:t>charges for either water or sewer service.</w:t>
      </w:r>
      <w:r w:rsidR="00E532FB">
        <w:rPr>
          <w:rStyle w:val="FootnoteReference"/>
        </w:rPr>
        <w:footnoteReference w:id="6"/>
      </w:r>
      <w:r w:rsidR="00E532FB">
        <w:t xml:space="preserve">  </w:t>
      </w:r>
      <w:proofErr w:type="spellStart"/>
      <w:r w:rsidR="00E532FB">
        <w:t>Nitsch</w:t>
      </w:r>
      <w:proofErr w:type="spellEnd"/>
      <w:r w:rsidR="00E532FB">
        <w:t xml:space="preserve"> has proposed an effective date for its rate increases of July 27, 2016.</w:t>
      </w:r>
      <w:r w:rsidR="00E532FB">
        <w:rPr>
          <w:rStyle w:val="FootnoteReference"/>
        </w:rPr>
        <w:footnoteReference w:id="7"/>
      </w:r>
      <w:r w:rsidRPr="00EC0C9F">
        <w:t xml:space="preserve"> </w:t>
      </w:r>
    </w:p>
    <w:p w:rsidR="006F2036" w:rsidRPr="003C35B5" w:rsidRDefault="006F2036" w:rsidP="00A02AD9">
      <w:pPr>
        <w:pStyle w:val="Heading1"/>
        <w:keepLines w:val="0"/>
        <w:numPr>
          <w:ilvl w:val="0"/>
          <w:numId w:val="22"/>
        </w:numPr>
        <w:spacing w:before="480"/>
        <w:ind w:left="360"/>
      </w:pPr>
      <w:r w:rsidRPr="003C35B5">
        <w:t xml:space="preserve">Issues to be </w:t>
      </w:r>
      <w:proofErr w:type="gramStart"/>
      <w:r w:rsidRPr="003C35B5">
        <w:t>Addressed</w:t>
      </w:r>
      <w:proofErr w:type="gramEnd"/>
    </w:p>
    <w:p w:rsidR="006F2036" w:rsidRDefault="006F2036" w:rsidP="006F2036">
      <w:pPr>
        <w:pStyle w:val="BodyText"/>
      </w:pPr>
      <w:r w:rsidRPr="003C35B5">
        <w:t>The Commission must provide to the administrative law judge (ALJ) a list of issues or areas to be addressed in any proceeding referred to SOAH.</w:t>
      </w:r>
      <w:r w:rsidRPr="003C35B5">
        <w:rPr>
          <w:rStyle w:val="FootnoteReference"/>
        </w:rPr>
        <w:footnoteReference w:id="8"/>
      </w:r>
      <w:r w:rsidRPr="003C35B5">
        <w:t xml:space="preserve">  After reviewing the pleadings submitted by the parties, the Commission identifies the following issues that must be addressed in this docket: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appropriate methodology to determine just and reasonable rates in this proceeding?</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just and reasonable rates for the utility that are sufficient, equitable, and consistent in application to each customer class and that are not unreasonably preferential, prejudicial, or discriminatory?</w:t>
      </w:r>
      <w:r w:rsidRPr="00193735">
        <w:rPr>
          <w:rFonts w:eastAsia="Times New Roman"/>
          <w:vertAlign w:val="superscript"/>
        </w:rPr>
        <w:footnoteReference w:id="9"/>
      </w:r>
      <w:r w:rsidRPr="00193735">
        <w:rPr>
          <w:rFonts w:eastAsia="Times New Roman"/>
          <w:szCs w:val="20"/>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revenue requirement will give the utility a reasonable opportunity to earn a reasonable return on its invested capital used and useful in providing service to the public in excess of its reasonable and necessary operating expenses while preserving the utility's financial integrity?</w:t>
      </w:r>
      <w:r w:rsidRPr="00193735">
        <w:rPr>
          <w:rFonts w:eastAsia="Times New Roman"/>
          <w:vertAlign w:val="superscript"/>
        </w:rPr>
        <w:footnoteReference w:id="10"/>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the utility's proposed revisions to its tariffs and rate schedules appropriate?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cost of providing service?</w:t>
      </w:r>
      <w:r w:rsidRPr="00193735">
        <w:rPr>
          <w:rFonts w:eastAsia="Times New Roman"/>
          <w:vertAlign w:val="superscript"/>
        </w:rPr>
        <w:footnoteReference w:id="11"/>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adjustments, if any, should be made to the utility’s proposed test-year data?</w:t>
      </w:r>
      <w:r w:rsidRPr="00193735">
        <w:rPr>
          <w:rFonts w:eastAsia="Times New Roman"/>
          <w:vertAlign w:val="superscript"/>
        </w:rPr>
        <w:footnoteReference w:id="12"/>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lastRenderedPageBreak/>
        <w:t>What is the appropriate debt-to-equity capital structure of the utility?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appropriate </w:t>
      </w:r>
      <w:r w:rsidR="003F602C">
        <w:rPr>
          <w:rFonts w:eastAsia="Times New Roman"/>
          <w:szCs w:val="20"/>
        </w:rPr>
        <w:t xml:space="preserve">weighted cost of capital (also called the overall rate of return), including </w:t>
      </w:r>
      <w:r w:rsidRPr="00193735">
        <w:rPr>
          <w:rFonts w:eastAsia="Times New Roman"/>
          <w:szCs w:val="20"/>
        </w:rPr>
        <w:t>return on equity</w:t>
      </w:r>
      <w:bookmarkStart w:id="0" w:name="_GoBack"/>
      <w:bookmarkEnd w:id="0"/>
      <w:r w:rsidRPr="00193735">
        <w:rPr>
          <w:rFonts w:eastAsia="Times New Roman"/>
          <w:szCs w:val="20"/>
        </w:rPr>
        <w:t xml:space="preserve"> and cost of debt for the utility?</w:t>
      </w:r>
      <w:r w:rsidR="00F01CB2">
        <w:rPr>
          <w:rStyle w:val="FootnoteReference"/>
          <w:rFonts w:eastAsia="Times New Roman"/>
          <w:szCs w:val="20"/>
        </w:rPr>
        <w:footnoteReference w:id="13"/>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reasonable and necessary components of the utility's invested capital?</w:t>
      </w:r>
      <w:r w:rsidRPr="00193735">
        <w:rPr>
          <w:rFonts w:eastAsia="Times New Roman"/>
          <w:vertAlign w:val="superscript"/>
        </w:rPr>
        <w:footnoteReference w:id="14"/>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amount for an allowance for funds used during construction, if any, that is being transferred to invested capital in this proceeding?  If such amounts are being transferred, for what facilities and at what rate did the allowance for funds used during construction accrue?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original cost of the property used and useful in providing water service to the public at the time the property was dedicated to public use?</w:t>
      </w:r>
      <w:r w:rsidRPr="00193735">
        <w:rPr>
          <w:rFonts w:eastAsia="Times New Roman"/>
          <w:vertAlign w:val="superscript"/>
        </w:rPr>
        <w:footnoteReference w:id="15"/>
      </w:r>
      <w:r w:rsidRPr="00193735">
        <w:rPr>
          <w:rFonts w:eastAsia="Times New Roman"/>
          <w:vertAlign w:val="superscript"/>
        </w:rPr>
        <w:t xml:space="preserve">  </w:t>
      </w:r>
      <w:r w:rsidR="00F01CB2">
        <w:rPr>
          <w:rFonts w:eastAsia="Times New Roman"/>
        </w:rPr>
        <w:t>What is the amount, if any</w:t>
      </w:r>
      <w:r w:rsidR="00FB53FF">
        <w:rPr>
          <w:rFonts w:eastAsia="Times New Roman"/>
        </w:rPr>
        <w:t>,</w:t>
      </w:r>
      <w:r w:rsidR="00F01CB2">
        <w:rPr>
          <w:rFonts w:eastAsia="Times New Roman"/>
        </w:rPr>
        <w:t xml:space="preserve"> of accumulated depreciation on such property?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Is the utility seeking the inclusion of construction work in progress?  If so, what is the amount sought and for what facilities?  Additionally, has the utility proven that the inclusion is necessary to the financial integrity of the utility and that major projects under construction have been efficiently and prudently planned and managed?</w:t>
      </w:r>
      <w:r w:rsidRPr="00193735">
        <w:rPr>
          <w:rFonts w:eastAsia="Times New Roman"/>
          <w:vertAlign w:val="superscript"/>
        </w:rPr>
        <w:footnoteReference w:id="16"/>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Does the utility have any debt? If so, what is the cost of that debt?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working capital allowance for the utility?</w:t>
      </w:r>
      <w:r w:rsidRPr="00193735">
        <w:rPr>
          <w:rFonts w:eastAsia="Times New Roman"/>
          <w:vertAlign w:val="superscript"/>
        </w:rPr>
        <w:footnoteReference w:id="17"/>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Does the utility have any water or sewer property that was acquired from an affiliate or a developer before September 1, 1976?  If so, has such property been included by the utility in </w:t>
      </w:r>
      <w:r w:rsidRPr="00193735">
        <w:rPr>
          <w:rFonts w:eastAsia="Times New Roman"/>
          <w:szCs w:val="20"/>
        </w:rPr>
        <w:lastRenderedPageBreak/>
        <w:t>its rate base, and has it been included in all ratemaking formulas at the actual cost of the property rather than the price set between the entities?</w:t>
      </w:r>
      <w:r w:rsidRPr="00193735">
        <w:rPr>
          <w:rFonts w:eastAsia="Times New Roman"/>
          <w:vertAlign w:val="superscript"/>
        </w:rPr>
        <w:footnoteReference w:id="18"/>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Has the utility acquired any water property from an affiliate?  If so, do the payments for that property meet the requirements of TWC § 13.185(e)?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financed any of its plant with developer contributions?</w:t>
      </w:r>
      <w:r w:rsidRPr="00193735">
        <w:rPr>
          <w:rFonts w:eastAsia="Times New Roman"/>
          <w:vertAlign w:val="superscript"/>
        </w:rPr>
        <w:footnoteReference w:id="19"/>
      </w:r>
      <w:r w:rsidRPr="00193735">
        <w:rPr>
          <w:rFonts w:eastAsia="Times New Roman"/>
          <w:szCs w:val="20"/>
        </w:rPr>
        <w:t xml:space="preserve">  What is the amount, if any, of accumulated depreciation on that property?</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included any customer contributions or donations in invested capital?</w:t>
      </w:r>
      <w:r w:rsidRPr="00193735">
        <w:rPr>
          <w:rFonts w:eastAsia="Times New Roman"/>
          <w:vertAlign w:val="superscript"/>
        </w:rPr>
        <w:footnoteReference w:id="20"/>
      </w:r>
      <w:r w:rsidRPr="00193735">
        <w:rPr>
          <w:rFonts w:eastAsia="Times New Roman"/>
          <w:vertAlign w:val="superscript"/>
        </w:rPr>
        <w:t xml:space="preserve"> </w:t>
      </w:r>
    </w:p>
    <w:p w:rsidR="00193735" w:rsidRPr="00193735" w:rsidRDefault="00193735" w:rsidP="00193735">
      <w:pPr>
        <w:numPr>
          <w:ilvl w:val="0"/>
          <w:numId w:val="16"/>
        </w:numPr>
        <w:spacing w:before="240" w:line="360" w:lineRule="auto"/>
        <w:ind w:hanging="720"/>
        <w:jc w:val="both"/>
        <w:rPr>
          <w:rFonts w:eastAsia="Times New Roman"/>
          <w:vertAlign w:val="superscript"/>
        </w:rPr>
      </w:pPr>
      <w:r w:rsidRPr="00193735">
        <w:rPr>
          <w:rFonts w:eastAsia="Times New Roman"/>
          <w:szCs w:val="20"/>
        </w:rPr>
        <w:t>What are the utility's reasonable and necessary operations and maintenance expenses?</w:t>
      </w:r>
      <w:r w:rsidRPr="00193735">
        <w:rPr>
          <w:rFonts w:eastAsia="Times New Roman"/>
          <w:vertAlign w:val="superscript"/>
        </w:rPr>
        <w:footnoteReference w:id="21"/>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are the utility's reasonable and necessary administrative and general expenses?</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amount for the utility's advertising expense, contributions, and donations?</w:t>
      </w:r>
      <w:r w:rsidRPr="00193735">
        <w:rPr>
          <w:rFonts w:eastAsia="Times New Roman"/>
          <w:vertAlign w:val="superscript"/>
        </w:rPr>
        <w:footnoteReference w:id="22"/>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any expenses, including but not limited to, executive salaries, advertising expenses, legal expenses, penalties and interest on overdue taxes, criminal penalties or fines, and civil penalties or fines, unreasonable, unnecessary, or not in the public interest?</w:t>
      </w:r>
      <w:r w:rsidRPr="00193735">
        <w:rPr>
          <w:rFonts w:eastAsia="Times New Roman"/>
          <w:vertAlign w:val="superscript"/>
        </w:rPr>
        <w:footnoteReference w:id="23"/>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If the utility has a self-insurance plan approved by the Commission or other regulatory authority, what is the approved target amount for the reserve account, and is it appropriate to charge that amount?  What is the amount of any shortage or surplus for the reserve account, </w:t>
      </w:r>
      <w:r w:rsidRPr="00193735">
        <w:rPr>
          <w:rFonts w:eastAsia="Times New Roman"/>
          <w:szCs w:val="20"/>
        </w:rPr>
        <w:lastRenderedPageBreak/>
        <w:t>and what actions, if any, should be taken to return the reserve account to the approved target amount?</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are the utility’s reasonable and necessary expenses, if any, for pension and other post-employment benefits?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Has the utility made any payments to affiliates?</w:t>
      </w:r>
    </w:p>
    <w:p w:rsidR="00193735" w:rsidRPr="00193735" w:rsidRDefault="00193735" w:rsidP="00193735">
      <w:pPr>
        <w:numPr>
          <w:ilvl w:val="0"/>
          <w:numId w:val="18"/>
        </w:numPr>
        <w:spacing w:before="240" w:line="360" w:lineRule="auto"/>
        <w:jc w:val="both"/>
        <w:rPr>
          <w:rFonts w:eastAsia="Times New Roman"/>
          <w:szCs w:val="20"/>
        </w:rPr>
      </w:pPr>
      <w:r w:rsidRPr="00193735">
        <w:rPr>
          <w:rFonts w:eastAsia="Times New Roman"/>
          <w:szCs w:val="20"/>
        </w:rPr>
        <w:t>For affiliate transactions that affect the cost of service, are these transactions reasonable and necessary?</w:t>
      </w:r>
      <w:r w:rsidRPr="00193735">
        <w:rPr>
          <w:rFonts w:eastAsia="Times New Roman"/>
          <w:vertAlign w:val="superscript"/>
        </w:rPr>
        <w:footnoteReference w:id="24"/>
      </w:r>
    </w:p>
    <w:p w:rsidR="00193735" w:rsidRPr="00193735" w:rsidRDefault="00193735" w:rsidP="00193735">
      <w:pPr>
        <w:numPr>
          <w:ilvl w:val="0"/>
          <w:numId w:val="18"/>
        </w:numPr>
        <w:spacing w:before="240" w:line="360" w:lineRule="auto"/>
        <w:jc w:val="both"/>
        <w:rPr>
          <w:rFonts w:eastAsia="Times New Roman"/>
          <w:szCs w:val="20"/>
        </w:rPr>
      </w:pPr>
      <w:r w:rsidRPr="00193735">
        <w:rPr>
          <w:rFonts w:eastAsia="Times New Roman"/>
          <w:szCs w:val="20"/>
        </w:rPr>
        <w:t>For all affiliated transactions affecting the cost of service, what are the costs to the affiliate of each item or class of items in question, and is the price for each transaction no higher than prices charged by the supplying affiliate to its other affiliates or divisions for the same item or items, or to unaffiliated persons or corporations?</w:t>
      </w:r>
      <w:r w:rsidRPr="00193735">
        <w:rPr>
          <w:rFonts w:eastAsia="Times New Roman"/>
          <w:vertAlign w:val="superscript"/>
        </w:rPr>
        <w:footnoteReference w:id="25"/>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depreciation expense?  For each class of property, what are the proper and adequate depreciation rates (including service lives and salvage values) and methods of depreciation?</w:t>
      </w:r>
      <w:r w:rsidRPr="00193735">
        <w:rPr>
          <w:rFonts w:eastAsia="Times New Roman"/>
          <w:vertAlign w:val="superscript"/>
        </w:rPr>
        <w:footnoteReference w:id="26"/>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Are any tax savings derived from liberalized depreciation and amortization, investment tax credits, or similar methods?  If so, are such tax savings apportioned equitably between customers and the utility, and are the interests of present and future customers equitably balanced?</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is the reasonable and necessary amount, if any, for assessment and taxes other than federal income taxes?</w:t>
      </w:r>
      <w:r w:rsidRPr="00193735">
        <w:rPr>
          <w:rFonts w:eastAsia="Times New Roman"/>
          <w:vertAlign w:val="superscript"/>
        </w:rPr>
        <w:footnoteReference w:id="27"/>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lastRenderedPageBreak/>
        <w:t>What is the reasonable and necessary amount for the utility's federal income tax expense?</w:t>
      </w:r>
      <w:r w:rsidRPr="00193735">
        <w:rPr>
          <w:rFonts w:eastAsia="Times New Roman"/>
          <w:vertAlign w:val="superscript"/>
        </w:rPr>
        <w:footnoteReference w:id="28"/>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Is the utility a member of an affiliated group that is eligible to file a consolidated income tax return?</w:t>
      </w:r>
      <w:r w:rsidRPr="00193735">
        <w:rPr>
          <w:rFonts w:eastAsia="Times New Roman"/>
          <w:vertAlign w:val="superscript"/>
        </w:rPr>
        <w:footnoteReference w:id="29"/>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If so, have income taxes been computed as though a consolidated return had been filed and the utility realized its fair share of the savings resulting from the consolidated return?</w:t>
      </w:r>
      <w:r w:rsidRPr="00193735">
        <w:rPr>
          <w:rFonts w:eastAsia="Times New Roman"/>
          <w:vertAlign w:val="superscript"/>
        </w:rPr>
        <w:footnoteReference w:id="30"/>
      </w:r>
    </w:p>
    <w:p w:rsidR="00193735" w:rsidRPr="00193735" w:rsidRDefault="00193735" w:rsidP="00193735">
      <w:pPr>
        <w:numPr>
          <w:ilvl w:val="0"/>
          <w:numId w:val="17"/>
        </w:numPr>
        <w:spacing w:before="240" w:line="360" w:lineRule="auto"/>
        <w:jc w:val="both"/>
        <w:rPr>
          <w:rFonts w:eastAsia="Times New Roman"/>
          <w:szCs w:val="20"/>
        </w:rPr>
      </w:pPr>
      <w:r w:rsidRPr="00193735">
        <w:rPr>
          <w:rFonts w:eastAsia="Times New Roman"/>
          <w:szCs w:val="20"/>
        </w:rPr>
        <w:t>If not, has the utility demonstrated that it was reasonable not to consolidate returns?</w:t>
      </w:r>
      <w:r w:rsidRPr="00193735">
        <w:rPr>
          <w:rFonts w:eastAsia="Times New Roman"/>
          <w:vertAlign w:val="superscript"/>
        </w:rPr>
        <w:footnoteReference w:id="31"/>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of the utility’s accumulated reserve for deferred federal income taxes, unamortized investment tax credits, contingency reserves, property insurance reserves, </w:t>
      </w:r>
      <w:proofErr w:type="gramStart"/>
      <w:r w:rsidRPr="00193735">
        <w:rPr>
          <w:rFonts w:eastAsia="Times New Roman"/>
          <w:szCs w:val="20"/>
        </w:rPr>
        <w:t>contributions</w:t>
      </w:r>
      <w:proofErr w:type="gramEnd"/>
      <w:r w:rsidRPr="00193735">
        <w:rPr>
          <w:rFonts w:eastAsia="Times New Roman"/>
          <w:szCs w:val="20"/>
        </w:rPr>
        <w:t xml:space="preserve"> in aid of construction, customer deposits, and other sources of cost-free capital?  What other items should be deducted from the utility’s rate base?</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 xml:space="preserve">What is the reasonable and necessary amount for municipal franchise fees, if any, to be included in rates? </w:t>
      </w:r>
    </w:p>
    <w:p w:rsidR="00193735" w:rsidRP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What regulatory assets are appropriately included in the utility’s rate base?  If such assets are included in rate base, what is the appropriate treatment of such assets?</w:t>
      </w:r>
    </w:p>
    <w:p w:rsidR="00193735" w:rsidRDefault="00193735" w:rsidP="00193735">
      <w:pPr>
        <w:numPr>
          <w:ilvl w:val="0"/>
          <w:numId w:val="16"/>
        </w:numPr>
        <w:spacing w:before="240" w:line="360" w:lineRule="auto"/>
        <w:ind w:hanging="720"/>
        <w:jc w:val="both"/>
        <w:rPr>
          <w:rFonts w:eastAsia="Times New Roman"/>
          <w:szCs w:val="20"/>
        </w:rPr>
      </w:pPr>
      <w:r w:rsidRPr="00193735">
        <w:rPr>
          <w:rFonts w:eastAsia="Times New Roman"/>
          <w:szCs w:val="20"/>
        </w:rPr>
        <w:t>Is the utility seeking rates for both water and sewer service?  If so, is each component of cost of service (each allowable expense and all return on invested capital) properly allocated between water and sewer services?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t>What is the appropriate allocation of costs and revenues among the utility’s rate classes?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lastRenderedPageBreak/>
        <w:t>What is the appropriate rate design for each rate class?</w:t>
      </w:r>
      <w:r>
        <w:rPr>
          <w:rStyle w:val="FootnoteReference"/>
          <w:rFonts w:eastAsia="Times New Roman"/>
          <w:szCs w:val="20"/>
        </w:rPr>
        <w:footnoteReference w:id="32"/>
      </w:r>
    </w:p>
    <w:p w:rsidR="00193735" w:rsidRDefault="00F01CB2" w:rsidP="00193735">
      <w:pPr>
        <w:numPr>
          <w:ilvl w:val="0"/>
          <w:numId w:val="16"/>
        </w:numPr>
        <w:spacing w:before="240" w:line="360" w:lineRule="auto"/>
        <w:ind w:hanging="720"/>
        <w:jc w:val="both"/>
        <w:rPr>
          <w:rFonts w:eastAsia="Times New Roman"/>
          <w:szCs w:val="20"/>
        </w:rPr>
      </w:pPr>
      <w:r>
        <w:rPr>
          <w:rFonts w:eastAsia="Times New Roman"/>
          <w:szCs w:val="20"/>
        </w:rPr>
        <w:t xml:space="preserve">Should </w:t>
      </w:r>
      <w:r w:rsidR="00193735">
        <w:rPr>
          <w:rFonts w:eastAsia="Times New Roman"/>
          <w:szCs w:val="20"/>
        </w:rPr>
        <w:t xml:space="preserve">the utility use the current number of connections as of the date of the application as opposed to using </w:t>
      </w:r>
      <w:r>
        <w:rPr>
          <w:rFonts w:eastAsia="Times New Roman"/>
          <w:szCs w:val="20"/>
        </w:rPr>
        <w:t xml:space="preserve">the number of </w:t>
      </w:r>
      <w:r w:rsidR="00193735">
        <w:rPr>
          <w:rFonts w:eastAsia="Times New Roman"/>
          <w:szCs w:val="20"/>
        </w:rPr>
        <w:t>test-year-end connections in designing rates?</w:t>
      </w:r>
    </w:p>
    <w:p w:rsidR="00193735" w:rsidRDefault="00193735" w:rsidP="00193735">
      <w:pPr>
        <w:numPr>
          <w:ilvl w:val="0"/>
          <w:numId w:val="16"/>
        </w:numPr>
        <w:spacing w:before="240" w:line="360" w:lineRule="auto"/>
        <w:ind w:hanging="720"/>
        <w:jc w:val="both"/>
        <w:rPr>
          <w:rFonts w:eastAsia="Times New Roman"/>
          <w:szCs w:val="20"/>
        </w:rPr>
      </w:pPr>
      <w:r>
        <w:rPr>
          <w:rFonts w:eastAsia="Times New Roman"/>
          <w:szCs w:val="20"/>
        </w:rPr>
        <w:t>What are the utility’s expenses incurred in this rate proceeding that are just, reasonable, necessary, and in the public interest?</w:t>
      </w:r>
      <w:r w:rsidR="006E6628">
        <w:rPr>
          <w:rStyle w:val="FootnoteReference"/>
          <w:rFonts w:eastAsia="Times New Roman"/>
          <w:szCs w:val="20"/>
        </w:rPr>
        <w:footnoteReference w:id="33"/>
      </w:r>
      <w:r>
        <w:rPr>
          <w:rFonts w:eastAsia="Times New Roman"/>
          <w:szCs w:val="20"/>
        </w:rPr>
        <w:t xml:space="preserve">  Does that amount include any </w:t>
      </w:r>
      <w:r w:rsidR="006E6628">
        <w:rPr>
          <w:rFonts w:eastAsia="Times New Roman"/>
          <w:szCs w:val="20"/>
        </w:rPr>
        <w:t>anticipated expenses to appeal this docket that are just, reasonable, necessary and in the public interest?  Should the utility be able to recover its reasonable and necessary rate-case expenses from ratepayers?  If so, how should such expenses, if any, be recovered by the utility?</w:t>
      </w:r>
    </w:p>
    <w:p w:rsidR="006E6628" w:rsidRDefault="006E6628" w:rsidP="00193735">
      <w:pPr>
        <w:numPr>
          <w:ilvl w:val="0"/>
          <w:numId w:val="16"/>
        </w:numPr>
        <w:spacing w:before="240" w:line="360" w:lineRule="auto"/>
        <w:ind w:hanging="720"/>
        <w:jc w:val="both"/>
        <w:rPr>
          <w:rFonts w:eastAsia="Times New Roman"/>
          <w:szCs w:val="20"/>
        </w:rPr>
      </w:pPr>
      <w:r>
        <w:rPr>
          <w:rFonts w:eastAsia="Times New Roman"/>
          <w:szCs w:val="20"/>
        </w:rPr>
        <w:t>If a refund or surcharge results from this proceeding, how and over what period of time should that be made?</w:t>
      </w:r>
      <w:r>
        <w:rPr>
          <w:rStyle w:val="FootnoteReference"/>
          <w:rFonts w:eastAsia="Times New Roman"/>
          <w:szCs w:val="20"/>
        </w:rPr>
        <w:footnoteReference w:id="34"/>
      </w:r>
    </w:p>
    <w:p w:rsidR="006E6628" w:rsidRDefault="006E6628" w:rsidP="00193735">
      <w:pPr>
        <w:numPr>
          <w:ilvl w:val="0"/>
          <w:numId w:val="16"/>
        </w:numPr>
        <w:spacing w:before="240" w:line="360" w:lineRule="auto"/>
        <w:ind w:hanging="720"/>
        <w:jc w:val="both"/>
        <w:rPr>
          <w:rFonts w:eastAsia="Times New Roman"/>
          <w:szCs w:val="20"/>
        </w:rPr>
      </w:pPr>
      <w:r>
        <w:rPr>
          <w:rFonts w:eastAsia="Times New Roman"/>
          <w:szCs w:val="20"/>
        </w:rPr>
        <w:t>Has the utility met the requirements for a request for interim relief in the form of interim rates?  If so, what are the appropriate levels of the interim rates?</w:t>
      </w:r>
      <w:r>
        <w:rPr>
          <w:rStyle w:val="FootnoteReference"/>
          <w:rFonts w:eastAsia="Times New Roman"/>
          <w:szCs w:val="20"/>
        </w:rPr>
        <w:footnoteReference w:id="35"/>
      </w:r>
    </w:p>
    <w:p w:rsidR="006E6628" w:rsidRPr="00193735" w:rsidRDefault="006E6628" w:rsidP="00193735">
      <w:pPr>
        <w:numPr>
          <w:ilvl w:val="0"/>
          <w:numId w:val="16"/>
        </w:numPr>
        <w:spacing w:before="240" w:line="360" w:lineRule="auto"/>
        <w:ind w:hanging="720"/>
        <w:jc w:val="both"/>
        <w:rPr>
          <w:rFonts w:eastAsia="Times New Roman"/>
          <w:szCs w:val="20"/>
        </w:rPr>
      </w:pPr>
      <w:r>
        <w:rPr>
          <w:rFonts w:eastAsia="Times New Roman"/>
          <w:szCs w:val="20"/>
        </w:rPr>
        <w:t>What is the appropriate effective date of the rates fixed by the Commission in this proceeding?</w:t>
      </w:r>
      <w:r>
        <w:rPr>
          <w:rStyle w:val="FootnoteReference"/>
          <w:rFonts w:eastAsia="Times New Roman"/>
          <w:szCs w:val="20"/>
        </w:rPr>
        <w:footnoteReference w:id="36"/>
      </w:r>
    </w:p>
    <w:p w:rsidR="00193735" w:rsidRDefault="00193735" w:rsidP="006F2036">
      <w:pPr>
        <w:pStyle w:val="BodyText"/>
      </w:pPr>
    </w:p>
    <w:p w:rsidR="006F2036" w:rsidRPr="003C35B5" w:rsidRDefault="006F2036" w:rsidP="006F2036">
      <w:pPr>
        <w:pStyle w:val="BodyText"/>
      </w:pPr>
      <w:r w:rsidRPr="003C35B5">
        <w:t xml:space="preserve">This list of issues is not intended to be exhaustive.  The parties and the ALJ are free to raise and address any issues relevant in this docket that they deem necessary, subject to any limitations imposed by the ALJ, or by the Commission in future orders issued in this docket.  The Commission </w:t>
      </w:r>
      <w:r>
        <w:t>may</w:t>
      </w:r>
      <w:r w:rsidRPr="003C35B5">
        <w:t xml:space="preserve"> identify and provide to the ALJ in the future any additional issues or areas that must be addressed, as permitted under</w:t>
      </w:r>
      <w:r w:rsidRPr="003C35B5">
        <w:rPr>
          <w:smallCaps/>
        </w:rPr>
        <w:t xml:space="preserve"> </w:t>
      </w:r>
      <w:r w:rsidRPr="0067692D">
        <w:t>Tex. Gov’t Code Ann.</w:t>
      </w:r>
      <w:r w:rsidRPr="003C35B5">
        <w:t xml:space="preserve"> §</w:t>
      </w:r>
      <w:r>
        <w:t> </w:t>
      </w:r>
      <w:r w:rsidRPr="003C35B5">
        <w:t>2003.049(e).</w:t>
      </w:r>
    </w:p>
    <w:p w:rsidR="006F2036" w:rsidRPr="003C35B5" w:rsidRDefault="006F2036" w:rsidP="00A02AD9">
      <w:pPr>
        <w:pStyle w:val="Heading1"/>
        <w:keepLines w:val="0"/>
        <w:numPr>
          <w:ilvl w:val="0"/>
          <w:numId w:val="22"/>
        </w:numPr>
        <w:spacing w:before="480"/>
        <w:ind w:left="360"/>
      </w:pPr>
      <w:r w:rsidRPr="003C35B5">
        <w:lastRenderedPageBreak/>
        <w:t>Effect of Preliminary Order</w:t>
      </w:r>
    </w:p>
    <w:p w:rsidR="006F2036" w:rsidRDefault="006F2036" w:rsidP="006F2036">
      <w:pPr>
        <w:pStyle w:val="BodyText"/>
      </w:pPr>
      <w:r w:rsidRPr="003C35B5">
        <w:t xml:space="preserve">This </w:t>
      </w:r>
      <w:r>
        <w:t>o</w:t>
      </w:r>
      <w:r w:rsidRPr="003C35B5">
        <w:t xml:space="preserve">rder is preliminary in nature and is entered without prejudice to any party expressing views contrary to this </w:t>
      </w:r>
      <w:r>
        <w:t>o</w:t>
      </w:r>
      <w:r w:rsidRPr="003C35B5">
        <w:t xml:space="preserve">rder before the SOAH ALJ at hearing.  The SOAH ALJ, upon his or her own motion or upon the motion of any party, may deviate from this </w:t>
      </w:r>
      <w:r>
        <w:t>o</w:t>
      </w:r>
      <w:r w:rsidRPr="003C35B5">
        <w:t xml:space="preserve">rder when circumstances dictate that it is reasonable to do so.  Any ruling by the SOAH ALJ that deviates from this </w:t>
      </w:r>
      <w:r>
        <w:t>o</w:t>
      </w:r>
      <w:r w:rsidRPr="003C35B5">
        <w:t xml:space="preserve">rder may be appealed to the Commission.  The Commission will not address whether this </w:t>
      </w:r>
      <w:r>
        <w:t>o</w:t>
      </w:r>
      <w:r w:rsidRPr="003C35B5">
        <w:t xml:space="preserve">rder should be modified except upon its own motion or the appeal of a SOAH ALJ’s order.  Furthermore, this </w:t>
      </w:r>
      <w:r>
        <w:t>o</w:t>
      </w:r>
      <w:r w:rsidRPr="003C35B5">
        <w:t>rder is not subject to motions for rehearing or reconsideration.</w:t>
      </w:r>
    </w:p>
    <w:p w:rsidR="006F2036" w:rsidRPr="003C35B5" w:rsidRDefault="006F2036" w:rsidP="006F2036"/>
    <w:p w:rsidR="006F2036" w:rsidRPr="003C35B5" w:rsidRDefault="006F2036" w:rsidP="006F2036"/>
    <w:p w:rsidR="00160DCD" w:rsidRDefault="00160DCD" w:rsidP="00160DCD"/>
    <w:p w:rsidR="00160DCD" w:rsidRDefault="00160DCD" w:rsidP="00160DCD">
      <w:pPr>
        <w:pStyle w:val="Dateline"/>
      </w:pPr>
      <w:r>
        <w:t xml:space="preserve">Signed at Austin, Texas the ______ day of </w:t>
      </w:r>
      <w:r w:rsidR="00462EF3">
        <w:t>January</w:t>
      </w:r>
      <w:r>
        <w:t xml:space="preserve"> 201</w:t>
      </w:r>
      <w:r w:rsidR="008A3090">
        <w:t>7</w:t>
      </w:r>
      <w:r w:rsidR="008D1724">
        <w:t>.</w:t>
      </w:r>
    </w:p>
    <w:p w:rsidR="00160DCD" w:rsidRDefault="00160DCD" w:rsidP="008D1724">
      <w:pPr>
        <w:pStyle w:val="Dateline"/>
      </w:pP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Default="00FE4318" w:rsidP="0062202F">
      <w:pPr>
        <w:pStyle w:val="EndMatter"/>
      </w:pPr>
      <w:r>
        <w:t>W2013</w:t>
      </w:r>
    </w:p>
    <w:p w:rsidR="00160DCD" w:rsidRDefault="00EB2705" w:rsidP="0062202F">
      <w:pPr>
        <w:pStyle w:val="EndMatter"/>
      </w:pPr>
      <w:r>
        <w:fldChar w:fldCharType="begin"/>
      </w:r>
      <w:r>
        <w:instrText xml:space="preserve"> FILENAME  \* Lower \p  \* MERGEFORMAT </w:instrText>
      </w:r>
      <w:r>
        <w:fldChar w:fldCharType="separate"/>
      </w:r>
      <w:r w:rsidR="008A3090">
        <w:rPr>
          <w:noProof/>
        </w:rPr>
        <w:t>q:\cadm\orders\prelim\46000\46069 dpo.docx</w:t>
      </w:r>
      <w:r>
        <w:rPr>
          <w:noProof/>
        </w:rPr>
        <w:fldChar w:fldCharType="end"/>
      </w:r>
    </w:p>
    <w:sectPr w:rsidR="00160DCD"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608FC" w:rsidRDefault="000608FC" w:rsidP="00D03394">
      <w:r>
        <w:separator/>
      </w:r>
    </w:p>
  </w:endnote>
  <w:endnote w:type="continuationSeparator" w:id="0">
    <w:p w:rsidR="000608FC" w:rsidRDefault="000608F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608FC" w:rsidRDefault="000608FC" w:rsidP="00D03394">
      <w:r>
        <w:separator/>
      </w:r>
    </w:p>
  </w:footnote>
  <w:footnote w:type="continuationSeparator" w:id="0">
    <w:p w:rsidR="000608FC" w:rsidRDefault="000608FC" w:rsidP="00D03394">
      <w:r>
        <w:continuationSeparator/>
      </w:r>
    </w:p>
  </w:footnote>
  <w:footnote w:id="1">
    <w:p w:rsidR="004A1312" w:rsidRDefault="004A1312">
      <w:pPr>
        <w:pStyle w:val="FootnoteText"/>
      </w:pPr>
      <w:r>
        <w:rPr>
          <w:rStyle w:val="FootnoteReference"/>
        </w:rPr>
        <w:footnoteRef/>
      </w:r>
      <w:r>
        <w:t xml:space="preserve">  Application at </w:t>
      </w:r>
      <w:r w:rsidR="00F01CB2">
        <w:t>2 (Jun. 16, 2016).</w:t>
      </w:r>
      <w:r>
        <w:t xml:space="preserve"> </w:t>
      </w:r>
    </w:p>
  </w:footnote>
  <w:footnote w:id="2">
    <w:p w:rsidR="004A1312" w:rsidRDefault="004A1312">
      <w:pPr>
        <w:pStyle w:val="FootnoteText"/>
      </w:pPr>
    </w:p>
    <w:p w:rsidR="004A1312" w:rsidRDefault="004A1312">
      <w:pPr>
        <w:pStyle w:val="FootnoteText"/>
      </w:pPr>
      <w:r>
        <w:rPr>
          <w:rStyle w:val="FootnoteReference"/>
        </w:rPr>
        <w:footnoteRef/>
      </w:r>
      <w:r>
        <w:t xml:space="preserve">  </w:t>
      </w:r>
      <w:r w:rsidRPr="004A1312">
        <w:rPr>
          <w:i/>
        </w:rPr>
        <w:t>Id</w:t>
      </w:r>
      <w:r>
        <w:t xml:space="preserve">. at 156. </w:t>
      </w:r>
    </w:p>
  </w:footnote>
  <w:footnote w:id="3">
    <w:p w:rsidR="004A1312" w:rsidRDefault="004A1312">
      <w:pPr>
        <w:pStyle w:val="FootnoteText"/>
      </w:pPr>
    </w:p>
    <w:p w:rsidR="00EC0C9F" w:rsidRDefault="00EC0C9F">
      <w:pPr>
        <w:pStyle w:val="FootnoteText"/>
      </w:pPr>
      <w:r>
        <w:rPr>
          <w:rStyle w:val="FootnoteReference"/>
        </w:rPr>
        <w:footnoteRef/>
      </w:r>
      <w:r>
        <w:t xml:space="preserve">  </w:t>
      </w:r>
      <w:r w:rsidR="004A1312" w:rsidRPr="004A1312">
        <w:rPr>
          <w:i/>
        </w:rPr>
        <w:t>Id.</w:t>
      </w:r>
      <w:r>
        <w:t xml:space="preserve"> at </w:t>
      </w:r>
      <w:r w:rsidR="00F01CB2">
        <w:t>11</w:t>
      </w:r>
      <w:r>
        <w:t>.</w:t>
      </w:r>
    </w:p>
  </w:footnote>
  <w:footnote w:id="4">
    <w:p w:rsidR="00EC0C9F" w:rsidRDefault="00EC0C9F">
      <w:pPr>
        <w:pStyle w:val="FootnoteText"/>
      </w:pPr>
    </w:p>
    <w:p w:rsidR="00EC0C9F" w:rsidRDefault="00EC0C9F">
      <w:pPr>
        <w:pStyle w:val="FootnoteText"/>
      </w:pPr>
      <w:r>
        <w:rPr>
          <w:rStyle w:val="FootnoteReference"/>
        </w:rPr>
        <w:footnoteRef/>
      </w:r>
      <w:r>
        <w:t xml:space="preserve">  </w:t>
      </w:r>
      <w:r w:rsidRPr="00E532FB">
        <w:rPr>
          <w:i/>
        </w:rPr>
        <w:t>Id</w:t>
      </w:r>
      <w:r>
        <w:t>. at 158.</w:t>
      </w:r>
    </w:p>
  </w:footnote>
  <w:footnote w:id="5">
    <w:p w:rsidR="00462EF3" w:rsidRDefault="00462EF3" w:rsidP="00462EF3">
      <w:pPr>
        <w:pStyle w:val="FootnoteText"/>
      </w:pPr>
    </w:p>
    <w:p w:rsidR="00462EF3" w:rsidRDefault="00EC0C9F" w:rsidP="00462EF3">
      <w:pPr>
        <w:pStyle w:val="FootnoteText"/>
      </w:pPr>
      <w:r>
        <w:rPr>
          <w:rStyle w:val="FootnoteReference"/>
        </w:rPr>
        <w:footnoteRef/>
      </w:r>
      <w:r>
        <w:t xml:space="preserve">  </w:t>
      </w:r>
      <w:r w:rsidRPr="00E532FB">
        <w:rPr>
          <w:i/>
        </w:rPr>
        <w:t>Id</w:t>
      </w:r>
      <w:r>
        <w:t>. at 160.</w:t>
      </w:r>
    </w:p>
  </w:footnote>
  <w:footnote w:id="6">
    <w:p w:rsidR="00E532FB" w:rsidRDefault="00E532FB">
      <w:pPr>
        <w:pStyle w:val="FootnoteText"/>
      </w:pPr>
    </w:p>
    <w:p w:rsidR="00E532FB" w:rsidRDefault="00E532FB">
      <w:pPr>
        <w:pStyle w:val="FootnoteText"/>
      </w:pPr>
      <w:r>
        <w:rPr>
          <w:rStyle w:val="FootnoteReference"/>
        </w:rPr>
        <w:footnoteRef/>
      </w:r>
      <w:r>
        <w:t xml:space="preserve">  </w:t>
      </w:r>
      <w:r w:rsidRPr="00E532FB">
        <w:rPr>
          <w:i/>
        </w:rPr>
        <w:t>Id</w:t>
      </w:r>
      <w:r>
        <w:t>. at 158, 160.</w:t>
      </w:r>
    </w:p>
  </w:footnote>
  <w:footnote w:id="7">
    <w:p w:rsidR="00E532FB" w:rsidRDefault="00E532FB">
      <w:pPr>
        <w:pStyle w:val="FootnoteText"/>
      </w:pPr>
    </w:p>
    <w:p w:rsidR="00E532FB" w:rsidRDefault="00E532FB">
      <w:pPr>
        <w:pStyle w:val="FootnoteText"/>
      </w:pPr>
      <w:r>
        <w:rPr>
          <w:rStyle w:val="FootnoteReference"/>
        </w:rPr>
        <w:footnoteRef/>
      </w:r>
      <w:r>
        <w:t xml:space="preserve">  </w:t>
      </w:r>
      <w:r w:rsidRPr="00E532FB">
        <w:rPr>
          <w:i/>
        </w:rPr>
        <w:t>Id</w:t>
      </w:r>
      <w:r>
        <w:t xml:space="preserve">. at 156. </w:t>
      </w:r>
    </w:p>
  </w:footnote>
  <w:footnote w:id="8">
    <w:p w:rsidR="00462EF3" w:rsidRDefault="00462EF3" w:rsidP="006F2036">
      <w:pPr>
        <w:pStyle w:val="FootnoteText"/>
        <w:rPr>
          <w:lang w:val="pt-BR"/>
        </w:rPr>
      </w:pPr>
    </w:p>
    <w:p w:rsidR="006F2036" w:rsidRPr="002133F3" w:rsidRDefault="006F2036" w:rsidP="006F2036">
      <w:pPr>
        <w:pStyle w:val="FootnoteText"/>
        <w:rPr>
          <w:lang w:val="pt-BR"/>
        </w:rPr>
      </w:pPr>
      <w:r>
        <w:rPr>
          <w:rStyle w:val="FootnoteReference"/>
        </w:rPr>
        <w:footnoteRef/>
      </w:r>
      <w:r w:rsidRPr="002133F3">
        <w:rPr>
          <w:lang w:val="pt-BR"/>
        </w:rPr>
        <w:t xml:space="preserve">  </w:t>
      </w:r>
      <w:r w:rsidRPr="001F10CC">
        <w:rPr>
          <w:lang w:val="pt-BR"/>
        </w:rPr>
        <w:t>Tex. Gov’t Code Ann</w:t>
      </w:r>
      <w:r w:rsidRPr="002133F3">
        <w:rPr>
          <w:smallCaps/>
          <w:lang w:val="pt-BR"/>
        </w:rPr>
        <w:t>.</w:t>
      </w:r>
      <w:r>
        <w:rPr>
          <w:lang w:val="pt-BR"/>
        </w:rPr>
        <w:t xml:space="preserve"> § 2003.049(e) (</w:t>
      </w:r>
      <w:r w:rsidR="00F82A95">
        <w:rPr>
          <w:lang w:val="pt-BR"/>
        </w:rPr>
        <w:t>West</w:t>
      </w:r>
      <w:r>
        <w:rPr>
          <w:lang w:val="pt-BR"/>
        </w:rPr>
        <w:t xml:space="preserve"> 20</w:t>
      </w:r>
      <w:r w:rsidR="00F01CB2">
        <w:rPr>
          <w:lang w:val="pt-BR"/>
        </w:rPr>
        <w:t>16</w:t>
      </w:r>
      <w:r w:rsidRPr="002133F3">
        <w:rPr>
          <w:lang w:val="pt-BR"/>
        </w:rPr>
        <w:t xml:space="preserve">).  </w:t>
      </w:r>
    </w:p>
  </w:footnote>
  <w:footnote w:id="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rsidRPr="00F90462">
        <w:t xml:space="preserve"> TWC § 13.182</w:t>
      </w:r>
      <w:r>
        <w:t>, 13.1871(o); 16 TAC § 24.28(d).</w:t>
      </w:r>
    </w:p>
  </w:footnote>
  <w:footnote w:id="10">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F90462">
        <w:t xml:space="preserve"> </w:t>
      </w:r>
      <w:r>
        <w:t xml:space="preserve"> </w:t>
      </w:r>
      <w:r w:rsidRPr="00F90462">
        <w:t>TWC § 13.183(a</w:t>
      </w:r>
      <w:proofErr w:type="gramStart"/>
      <w:r w:rsidRPr="00F90462">
        <w:t>)</w:t>
      </w:r>
      <w:r>
        <w:t>(</w:t>
      </w:r>
      <w:proofErr w:type="gramEnd"/>
      <w:r>
        <w:t>1)-(2)</w:t>
      </w:r>
      <w:r w:rsidRPr="00F90462">
        <w:t xml:space="preserve">; </w:t>
      </w:r>
      <w:r>
        <w:t>16 TAC</w:t>
      </w:r>
      <w:r w:rsidRPr="00F90462">
        <w:t xml:space="preserve"> § 24.32(a)</w:t>
      </w:r>
      <w:r>
        <w:t>.</w:t>
      </w:r>
    </w:p>
  </w:footnote>
  <w:footnote w:id="11">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F90462">
        <w:t xml:space="preserve"> </w:t>
      </w:r>
      <w:r>
        <w:t xml:space="preserve"> </w:t>
      </w:r>
      <w:r w:rsidRPr="00F90462">
        <w:t>16 TAC § 24.31.</w:t>
      </w:r>
    </w:p>
  </w:footnote>
  <w:footnote w:id="12">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TWC § 13.185(d</w:t>
      </w:r>
      <w:proofErr w:type="gramStart"/>
      <w:r w:rsidRPr="00F90462">
        <w:t>)(</w:t>
      </w:r>
      <w:proofErr w:type="gramEnd"/>
      <w:r w:rsidRPr="00F90462">
        <w:t>1); 16 TAC § 24.31(b), (c)(5).</w:t>
      </w:r>
    </w:p>
  </w:footnote>
  <w:footnote w:id="13">
    <w:p w:rsidR="00F01CB2" w:rsidRDefault="00F01CB2">
      <w:pPr>
        <w:pStyle w:val="FootnoteText"/>
      </w:pPr>
    </w:p>
    <w:p w:rsidR="00F01CB2" w:rsidRDefault="00F01CB2">
      <w:pPr>
        <w:pStyle w:val="FootnoteText"/>
      </w:pPr>
      <w:r>
        <w:rPr>
          <w:rStyle w:val="FootnoteReference"/>
        </w:rPr>
        <w:footnoteRef/>
      </w:r>
      <w:r>
        <w:t xml:space="preserve">  16 TAC § 24.31(c</w:t>
      </w:r>
      <w:proofErr w:type="gramStart"/>
      <w:r>
        <w:t>)(</w:t>
      </w:r>
      <w:proofErr w:type="gramEnd"/>
      <w:r w:rsidR="00FB53FF">
        <w:t>1</w:t>
      </w:r>
      <w:r>
        <w:t xml:space="preserve">). </w:t>
      </w:r>
    </w:p>
  </w:footnote>
  <w:footnote w:id="14">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 xml:space="preserve">16 TAC </w:t>
      </w:r>
      <w:r w:rsidRPr="00F90462">
        <w:rPr>
          <w:bCs/>
        </w:rPr>
        <w:t>§ 24.31(c</w:t>
      </w:r>
      <w:proofErr w:type="gramStart"/>
      <w:r w:rsidRPr="00F90462">
        <w:rPr>
          <w:bCs/>
        </w:rPr>
        <w:t>)(</w:t>
      </w:r>
      <w:proofErr w:type="gramEnd"/>
      <w:r w:rsidRPr="00F90462">
        <w:rPr>
          <w:bCs/>
        </w:rPr>
        <w:t>2).</w:t>
      </w:r>
    </w:p>
  </w:footnote>
  <w:footnote w:id="15">
    <w:p w:rsidR="00193735" w:rsidRPr="00F90462" w:rsidRDefault="00193735" w:rsidP="00193735">
      <w:pPr>
        <w:pStyle w:val="ItemList"/>
        <w:spacing w:before="240" w:line="240" w:lineRule="auto"/>
        <w:ind w:left="0" w:firstLine="720"/>
        <w:contextualSpacing/>
        <w:rPr>
          <w:sz w:val="20"/>
        </w:rPr>
      </w:pPr>
      <w:r w:rsidRPr="002D7BD1">
        <w:rPr>
          <w:rStyle w:val="FootnoteReference"/>
          <w:rFonts w:eastAsiaTheme="majorEastAsia"/>
          <w:sz w:val="20"/>
        </w:rPr>
        <w:footnoteRef/>
      </w:r>
      <w:r>
        <w:rPr>
          <w:sz w:val="20"/>
        </w:rPr>
        <w:t xml:space="preserve"> </w:t>
      </w:r>
      <w:r w:rsidRPr="00F90462">
        <w:rPr>
          <w:sz w:val="20"/>
        </w:rPr>
        <w:t>TWC § 13.185(b); 16 TAC § 24.31(c</w:t>
      </w:r>
      <w:proofErr w:type="gramStart"/>
      <w:r w:rsidRPr="00F90462">
        <w:rPr>
          <w:sz w:val="20"/>
        </w:rPr>
        <w:t>)(</w:t>
      </w:r>
      <w:proofErr w:type="gramEnd"/>
      <w:r w:rsidRPr="00F90462">
        <w:rPr>
          <w:sz w:val="20"/>
        </w:rPr>
        <w:t>2)(A)-(B).</w:t>
      </w:r>
    </w:p>
  </w:footnote>
  <w:footnote w:id="16">
    <w:p w:rsidR="00193735" w:rsidRDefault="00193735" w:rsidP="00193735">
      <w:pPr>
        <w:pStyle w:val="FootnoteText"/>
        <w:contextualSpacing/>
      </w:pPr>
    </w:p>
    <w:p w:rsidR="00193735" w:rsidRPr="00F90462" w:rsidRDefault="00193735" w:rsidP="00193735">
      <w:pPr>
        <w:pStyle w:val="FootnoteText"/>
        <w:contextualSpacing/>
      </w:pPr>
      <w:r w:rsidRPr="002D7BD1">
        <w:rPr>
          <w:rStyle w:val="FootnoteReference"/>
        </w:rPr>
        <w:footnoteRef/>
      </w:r>
      <w:r w:rsidRPr="002D7BD1">
        <w:t xml:space="preserve"> </w:t>
      </w:r>
      <w:r>
        <w:t xml:space="preserve"> </w:t>
      </w:r>
      <w:r w:rsidRPr="00F90462">
        <w:t>TWC § 13.185(b); 16 TAC § 24.31(c</w:t>
      </w:r>
      <w:proofErr w:type="gramStart"/>
      <w:r w:rsidRPr="00F90462">
        <w:t>)(</w:t>
      </w:r>
      <w:proofErr w:type="gramEnd"/>
      <w:r w:rsidRPr="00F90462">
        <w:t>4).</w:t>
      </w:r>
    </w:p>
  </w:footnote>
  <w:footnote w:id="17">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24.31(c</w:t>
      </w:r>
      <w:proofErr w:type="gramStart"/>
      <w:r w:rsidRPr="00F90462">
        <w:t>)(</w:t>
      </w:r>
      <w:proofErr w:type="gramEnd"/>
      <w:r w:rsidRPr="00F90462">
        <w:t>2)(C).</w:t>
      </w:r>
    </w:p>
  </w:footnote>
  <w:footnote w:id="18">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w:t>
      </w:r>
      <w:proofErr w:type="spellStart"/>
      <w:r w:rsidRPr="00F90462">
        <w:t>i</w:t>
      </w:r>
      <w:proofErr w:type="spellEnd"/>
      <w:r w:rsidRPr="00F90462">
        <w:t>).</w:t>
      </w:r>
    </w:p>
  </w:footnote>
  <w:footnote w:id="1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t xml:space="preserve"> </w:t>
      </w:r>
      <w:r w:rsidRPr="00F90462">
        <w:t>TWC § 13.185(j), 16 TAC § 24.31(b</w:t>
      </w:r>
      <w:proofErr w:type="gramStart"/>
      <w:r w:rsidRPr="00F90462">
        <w:t>)(</w:t>
      </w:r>
      <w:proofErr w:type="gramEnd"/>
      <w:r w:rsidRPr="00F90462">
        <w:t>1)(B).</w:t>
      </w:r>
    </w:p>
  </w:footnote>
  <w:footnote w:id="20">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13.185(j), 16 TAC § 24.31(c</w:t>
      </w:r>
      <w:proofErr w:type="gramStart"/>
      <w:r w:rsidRPr="00F90462">
        <w:t>)(</w:t>
      </w:r>
      <w:proofErr w:type="gramEnd"/>
      <w:r w:rsidRPr="00F90462">
        <w:t xml:space="preserve">2)(B)(v).  </w:t>
      </w:r>
    </w:p>
  </w:footnote>
  <w:footnote w:id="21">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rsidRPr="002D7BD1">
        <w:t xml:space="preserve">  </w:t>
      </w:r>
      <w:r w:rsidRPr="00F90462">
        <w:t>16 TAC § 24.31(b</w:t>
      </w:r>
      <w:proofErr w:type="gramStart"/>
      <w:r w:rsidRPr="00F90462">
        <w:t>)(</w:t>
      </w:r>
      <w:proofErr w:type="gramEnd"/>
      <w:r w:rsidRPr="00F90462">
        <w:t>1)(A).</w:t>
      </w:r>
    </w:p>
  </w:footnote>
  <w:footnote w:id="22">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16 TAC § 24.31</w:t>
      </w:r>
      <w:r w:rsidRPr="00F90462">
        <w:t>(b</w:t>
      </w:r>
      <w:proofErr w:type="gramStart"/>
      <w:r w:rsidRPr="00F90462">
        <w:t>)(</w:t>
      </w:r>
      <w:proofErr w:type="gramEnd"/>
      <w:r w:rsidRPr="00F90462">
        <w:t>1)(F).</w:t>
      </w:r>
    </w:p>
  </w:footnote>
  <w:footnote w:id="23">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13.185(h</w:t>
      </w:r>
      <w:proofErr w:type="gramStart"/>
      <w:r w:rsidRPr="00F90462">
        <w:t>)(</w:t>
      </w:r>
      <w:proofErr w:type="gramEnd"/>
      <w:r w:rsidRPr="00F90462">
        <w:t>3); 16 TAC § 24.31(b)(2)(I).</w:t>
      </w:r>
    </w:p>
  </w:footnote>
  <w:footnote w:id="24">
    <w:p w:rsidR="00193735" w:rsidRDefault="00193735" w:rsidP="00193735">
      <w:pPr>
        <w:pStyle w:val="FootnoteText"/>
      </w:pPr>
    </w:p>
    <w:p w:rsidR="00193735" w:rsidRDefault="00193735" w:rsidP="00193735">
      <w:pPr>
        <w:pStyle w:val="FootnoteText"/>
      </w:pPr>
      <w:r w:rsidRPr="002D7BD1">
        <w:rPr>
          <w:rStyle w:val="FootnoteReference"/>
        </w:rPr>
        <w:footnoteRef/>
      </w:r>
      <w:r>
        <w:t xml:space="preserve">  </w:t>
      </w:r>
      <w:r w:rsidRPr="00F90462">
        <w:t>TWC § 13.185(e).</w:t>
      </w:r>
    </w:p>
    <w:p w:rsidR="00F01CB2" w:rsidRPr="00F90462" w:rsidRDefault="00F01CB2" w:rsidP="00193735">
      <w:pPr>
        <w:pStyle w:val="FootnoteText"/>
      </w:pPr>
    </w:p>
  </w:footnote>
  <w:footnote w:id="25">
    <w:p w:rsidR="00193735" w:rsidRPr="00F90462" w:rsidRDefault="00193735" w:rsidP="00193735">
      <w:pPr>
        <w:pStyle w:val="FootnoteText"/>
      </w:pPr>
      <w:r w:rsidRPr="002D7BD1">
        <w:rPr>
          <w:rStyle w:val="FootnoteReference"/>
        </w:rPr>
        <w:footnoteRef/>
      </w:r>
      <w:r w:rsidRPr="00FC4258">
        <w:rPr>
          <w:i/>
        </w:rPr>
        <w:t xml:space="preserve">  Id.</w:t>
      </w:r>
    </w:p>
  </w:footnote>
  <w:footnote w:id="26">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13.185(j); 16 TAC § 24.31(b</w:t>
      </w:r>
      <w:proofErr w:type="gramStart"/>
      <w:r w:rsidRPr="00F90462">
        <w:t>)(</w:t>
      </w:r>
      <w:proofErr w:type="gramEnd"/>
      <w:r w:rsidRPr="00F90462">
        <w:t>1)(B).</w:t>
      </w:r>
    </w:p>
  </w:footnote>
  <w:footnote w:id="27">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24.31(b</w:t>
      </w:r>
      <w:proofErr w:type="gramStart"/>
      <w:r w:rsidRPr="00F90462">
        <w:t>)(</w:t>
      </w:r>
      <w:proofErr w:type="gramEnd"/>
      <w:r w:rsidRPr="00F90462">
        <w:t>1)(C).</w:t>
      </w:r>
    </w:p>
  </w:footnote>
  <w:footnote w:id="28">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16 TAC § 24.31(b</w:t>
      </w:r>
      <w:proofErr w:type="gramStart"/>
      <w:r w:rsidRPr="00F90462">
        <w:t>)(</w:t>
      </w:r>
      <w:proofErr w:type="gramEnd"/>
      <w:r w:rsidRPr="00F90462">
        <w:t>1)(D); TWC § 13.185(f).</w:t>
      </w:r>
    </w:p>
  </w:footnote>
  <w:footnote w:id="29">
    <w:p w:rsidR="00193735" w:rsidRDefault="00193735" w:rsidP="00193735">
      <w:pPr>
        <w:pStyle w:val="FootnoteText"/>
      </w:pPr>
    </w:p>
    <w:p w:rsidR="00193735" w:rsidRPr="00F90462" w:rsidRDefault="00193735" w:rsidP="00193735">
      <w:pPr>
        <w:pStyle w:val="FootnoteText"/>
      </w:pPr>
      <w:r w:rsidRPr="002D7BD1">
        <w:rPr>
          <w:rStyle w:val="FootnoteReference"/>
        </w:rPr>
        <w:footnoteRef/>
      </w:r>
      <w:r>
        <w:t xml:space="preserve">  </w:t>
      </w:r>
      <w:r w:rsidRPr="00F90462">
        <w:t>TWC § 13.185(f).</w:t>
      </w:r>
    </w:p>
  </w:footnote>
  <w:footnote w:id="30">
    <w:p w:rsidR="00193735" w:rsidRDefault="00193735" w:rsidP="00193735">
      <w:pPr>
        <w:pStyle w:val="FootnoteText"/>
        <w:rPr>
          <w:i/>
        </w:rPr>
      </w:pPr>
    </w:p>
    <w:p w:rsidR="00193735" w:rsidRDefault="00193735" w:rsidP="00193735">
      <w:pPr>
        <w:pStyle w:val="FootnoteText"/>
        <w:rPr>
          <w:i/>
        </w:rPr>
      </w:pPr>
      <w:r w:rsidRPr="002D7BD1">
        <w:rPr>
          <w:rStyle w:val="FootnoteReference"/>
        </w:rPr>
        <w:footnoteRef/>
      </w:r>
      <w:r>
        <w:rPr>
          <w:i/>
        </w:rPr>
        <w:t xml:space="preserve">  </w:t>
      </w:r>
      <w:r w:rsidRPr="00F90462">
        <w:rPr>
          <w:i/>
        </w:rPr>
        <w:t>Id.</w:t>
      </w:r>
    </w:p>
    <w:p w:rsidR="00F01CB2" w:rsidRPr="00F90462" w:rsidRDefault="00F01CB2" w:rsidP="00193735">
      <w:pPr>
        <w:pStyle w:val="FootnoteText"/>
        <w:rPr>
          <w:i/>
        </w:rPr>
      </w:pPr>
    </w:p>
  </w:footnote>
  <w:footnote w:id="31">
    <w:p w:rsidR="00193735" w:rsidRPr="00F90462" w:rsidRDefault="00193735" w:rsidP="00193735">
      <w:pPr>
        <w:pStyle w:val="FootnoteText"/>
        <w:rPr>
          <w:i/>
        </w:rPr>
      </w:pPr>
      <w:r w:rsidRPr="002D7BD1">
        <w:rPr>
          <w:rStyle w:val="FootnoteReference"/>
        </w:rPr>
        <w:footnoteRef/>
      </w:r>
      <w:r>
        <w:rPr>
          <w:i/>
        </w:rPr>
        <w:t xml:space="preserve">  </w:t>
      </w:r>
      <w:r w:rsidRPr="00F90462">
        <w:rPr>
          <w:i/>
        </w:rPr>
        <w:t>Id.</w:t>
      </w:r>
    </w:p>
  </w:footnote>
  <w:footnote w:id="32">
    <w:p w:rsidR="006E6628" w:rsidRDefault="006E6628">
      <w:pPr>
        <w:pStyle w:val="FootnoteText"/>
      </w:pPr>
    </w:p>
    <w:p w:rsidR="00193735" w:rsidRDefault="00193735">
      <w:pPr>
        <w:pStyle w:val="FootnoteText"/>
      </w:pPr>
      <w:r>
        <w:rPr>
          <w:rStyle w:val="FootnoteReference"/>
        </w:rPr>
        <w:footnoteRef/>
      </w:r>
      <w:r>
        <w:t xml:space="preserve"> </w:t>
      </w:r>
      <w:r w:rsidR="006E6628">
        <w:t xml:space="preserve"> 16 TAC § 24.32.</w:t>
      </w:r>
    </w:p>
  </w:footnote>
  <w:footnote w:id="33">
    <w:p w:rsidR="006E6628" w:rsidRDefault="006E6628">
      <w:pPr>
        <w:pStyle w:val="FootnoteText"/>
      </w:pPr>
    </w:p>
    <w:p w:rsidR="006E6628" w:rsidRDefault="006E6628">
      <w:pPr>
        <w:pStyle w:val="FootnoteText"/>
      </w:pPr>
      <w:r>
        <w:rPr>
          <w:rStyle w:val="FootnoteReference"/>
        </w:rPr>
        <w:footnoteRef/>
      </w:r>
      <w:r>
        <w:t xml:space="preserve">  16 TAC § 24.33.</w:t>
      </w:r>
    </w:p>
  </w:footnote>
  <w:footnote w:id="34">
    <w:p w:rsidR="00793007" w:rsidRDefault="00793007">
      <w:pPr>
        <w:pStyle w:val="FootnoteText"/>
      </w:pPr>
    </w:p>
    <w:p w:rsidR="006E6628" w:rsidRDefault="006E6628">
      <w:pPr>
        <w:pStyle w:val="FootnoteText"/>
      </w:pPr>
      <w:r>
        <w:rPr>
          <w:rStyle w:val="FootnoteReference"/>
        </w:rPr>
        <w:footnoteRef/>
      </w:r>
      <w:r>
        <w:t xml:space="preserve">  TWC § 13.1871.</w:t>
      </w:r>
    </w:p>
  </w:footnote>
  <w:footnote w:id="35">
    <w:p w:rsidR="006E6628" w:rsidRDefault="006E6628">
      <w:pPr>
        <w:pStyle w:val="FootnoteText"/>
      </w:pPr>
    </w:p>
    <w:p w:rsidR="006E6628" w:rsidRDefault="006E6628">
      <w:pPr>
        <w:pStyle w:val="FootnoteText"/>
      </w:pPr>
      <w:r>
        <w:rPr>
          <w:rStyle w:val="FootnoteReference"/>
        </w:rPr>
        <w:footnoteRef/>
      </w:r>
      <w:r>
        <w:t xml:space="preserve">  16 TAC § 24.29.</w:t>
      </w:r>
    </w:p>
  </w:footnote>
  <w:footnote w:id="36">
    <w:p w:rsidR="006E6628" w:rsidRDefault="006E6628">
      <w:pPr>
        <w:pStyle w:val="FootnoteText"/>
      </w:pPr>
    </w:p>
    <w:p w:rsidR="006E6628" w:rsidRDefault="006E6628">
      <w:pPr>
        <w:pStyle w:val="FootnoteText"/>
      </w:pPr>
      <w:r>
        <w:rPr>
          <w:rStyle w:val="FootnoteReference"/>
        </w:rPr>
        <w:footnoteRef/>
      </w:r>
      <w:r>
        <w:t xml:space="preserve">  TWC § 13.1871.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pPr>
      <w:pStyle w:val="Header"/>
    </w:pPr>
    <w:r>
      <w:t>PUC Docket No. </w:t>
    </w:r>
    <w:r w:rsidR="008A3090">
      <w:t>46069</w:t>
    </w:r>
    <w:r>
      <w:tab/>
    </w:r>
    <w:r w:rsidR="00B12AC5">
      <w:t xml:space="preserve">Draft Preliminary </w:t>
    </w:r>
    <w:r>
      <w:t>Order</w:t>
    </w:r>
    <w:r>
      <w:tab/>
      <w:t xml:space="preserve">Page </w:t>
    </w:r>
    <w:r>
      <w:fldChar w:fldCharType="begin"/>
    </w:r>
    <w:r>
      <w:instrText xml:space="preserve"> PAGE   \* MERGEFORMAT </w:instrText>
    </w:r>
    <w:r>
      <w:fldChar w:fldCharType="separate"/>
    </w:r>
    <w:r w:rsidR="00EB2705">
      <w:rPr>
        <w:noProof/>
      </w:rPr>
      <w:t>5</w:t>
    </w:r>
    <w:r>
      <w:fldChar w:fldCharType="end"/>
    </w:r>
    <w:r>
      <w:t xml:space="preserve"> of </w:t>
    </w:r>
    <w:fldSimple w:instr=" NUMPAGES   \* MERGEFORMAT ">
      <w:r w:rsidR="00EB2705">
        <w:rPr>
          <w:noProof/>
        </w:rPr>
        <w:t>8</w:t>
      </w:r>
    </w:fldSimple>
  </w:p>
  <w:p w:rsidR="00ED04FC" w:rsidRDefault="00ED04FC">
    <w:pPr>
      <w:pStyle w:val="Header"/>
    </w:pPr>
    <w:r>
      <w:t>SOAH Docket No. 473-1</w:t>
    </w:r>
    <w:r w:rsidR="008A3090">
      <w:t>7</w:t>
    </w:r>
    <w:r>
      <w:t>-</w:t>
    </w:r>
    <w:r w:rsidR="008A3090">
      <w:t>1434.WS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F154CCDC"/>
    <w:lvl w:ilvl="0">
      <w:start w:val="1"/>
      <w:numFmt w:val="decimal"/>
      <w:lvlText w:val="%1."/>
      <w:lvlJc w:val="left"/>
      <w:pPr>
        <w:tabs>
          <w:tab w:val="num" w:pos="720"/>
        </w:tabs>
        <w:ind w:left="720" w:hanging="720"/>
      </w:pPr>
    </w:lvl>
  </w:abstractNum>
  <w:abstractNum w:abstractNumId="1" w15:restartNumberingAfterBreak="0">
    <w:nsid w:val="09AA6C49"/>
    <w:multiLevelType w:val="hybridMultilevel"/>
    <w:tmpl w:val="5106A5E0"/>
    <w:lvl w:ilvl="0" w:tplc="4112DA9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B67C25"/>
    <w:multiLevelType w:val="multilevel"/>
    <w:tmpl w:val="D6224ED0"/>
    <w:lvl w:ilvl="0">
      <w:start w:val="1"/>
      <w:numFmt w:val="decimal"/>
      <w:pStyle w:val="IssueList"/>
      <w:lvlText w:val="%1."/>
      <w:lvlJc w:val="left"/>
      <w:pPr>
        <w:ind w:left="360" w:hanging="360"/>
      </w:pPr>
      <w:rPr>
        <w:rFonts w:hint="default"/>
      </w:rPr>
    </w:lvl>
    <w:lvl w:ilvl="1">
      <w:start w:val="1"/>
      <w:numFmt w:val="lowerLetter"/>
      <w:pStyle w:val="Issuesublist"/>
      <w:lvlText w:val="%2."/>
      <w:lvlJc w:val="left"/>
      <w:pPr>
        <w:ind w:left="720" w:hanging="360"/>
      </w:pPr>
      <w:rPr>
        <w:rFonts w:hint="default"/>
      </w:rPr>
    </w:lvl>
    <w:lvl w:ilvl="2">
      <w:start w:val="1"/>
      <w:numFmt w:val="lowerRoman"/>
      <w:pStyle w:val="Issuesub2list"/>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6434467"/>
    <w:multiLevelType w:val="hybridMultilevel"/>
    <w:tmpl w:val="57167858"/>
    <w:lvl w:ilvl="0" w:tplc="04090013">
      <w:start w:val="1"/>
      <w:numFmt w:val="upperRoman"/>
      <w:lvlText w:val="%1."/>
      <w:lvlJc w:val="right"/>
      <w:pPr>
        <w:ind w:left="5040" w:hanging="72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4" w15:restartNumberingAfterBreak="0">
    <w:nsid w:val="174556BA"/>
    <w:multiLevelType w:val="hybridMultilevel"/>
    <w:tmpl w:val="2E20DDC8"/>
    <w:lvl w:ilvl="0" w:tplc="D310B98E">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5" w15:restartNumberingAfterBreak="0">
    <w:nsid w:val="183D7FA4"/>
    <w:multiLevelType w:val="hybridMultilevel"/>
    <w:tmpl w:val="29B458CE"/>
    <w:lvl w:ilvl="0" w:tplc="4414106A">
      <w:start w:val="1"/>
      <w:numFmt w:val="decimal"/>
      <w:lvlText w:val="%1."/>
      <w:lvlJc w:val="left"/>
      <w:pPr>
        <w:tabs>
          <w:tab w:val="num" w:pos="720"/>
        </w:tabs>
        <w:ind w:left="720" w:hanging="720"/>
      </w:pPr>
      <w:rPr>
        <w:rFonts w:hint="default"/>
        <w:b/>
      </w:rPr>
    </w:lvl>
    <w:lvl w:ilvl="1" w:tplc="25383976" w:tentative="1">
      <w:start w:val="1"/>
      <w:numFmt w:val="lowerLetter"/>
      <w:lvlText w:val="%2."/>
      <w:lvlJc w:val="left"/>
      <w:pPr>
        <w:tabs>
          <w:tab w:val="num" w:pos="720"/>
        </w:tabs>
        <w:ind w:left="720" w:hanging="360"/>
      </w:pPr>
    </w:lvl>
    <w:lvl w:ilvl="2" w:tplc="B170C654" w:tentative="1">
      <w:start w:val="1"/>
      <w:numFmt w:val="lowerRoman"/>
      <w:lvlText w:val="%3."/>
      <w:lvlJc w:val="right"/>
      <w:pPr>
        <w:tabs>
          <w:tab w:val="num" w:pos="1440"/>
        </w:tabs>
        <w:ind w:left="1440" w:hanging="180"/>
      </w:pPr>
    </w:lvl>
    <w:lvl w:ilvl="3" w:tplc="3E48C2D0" w:tentative="1">
      <w:start w:val="1"/>
      <w:numFmt w:val="decimal"/>
      <w:lvlText w:val="%4."/>
      <w:lvlJc w:val="left"/>
      <w:pPr>
        <w:tabs>
          <w:tab w:val="num" w:pos="2160"/>
        </w:tabs>
        <w:ind w:left="2160" w:hanging="360"/>
      </w:pPr>
    </w:lvl>
    <w:lvl w:ilvl="4" w:tplc="52B0A2D4" w:tentative="1">
      <w:start w:val="1"/>
      <w:numFmt w:val="lowerLetter"/>
      <w:lvlText w:val="%5."/>
      <w:lvlJc w:val="left"/>
      <w:pPr>
        <w:tabs>
          <w:tab w:val="num" w:pos="2880"/>
        </w:tabs>
        <w:ind w:left="2880" w:hanging="360"/>
      </w:pPr>
    </w:lvl>
    <w:lvl w:ilvl="5" w:tplc="1428A1BC" w:tentative="1">
      <w:start w:val="1"/>
      <w:numFmt w:val="lowerRoman"/>
      <w:lvlText w:val="%6."/>
      <w:lvlJc w:val="right"/>
      <w:pPr>
        <w:tabs>
          <w:tab w:val="num" w:pos="3600"/>
        </w:tabs>
        <w:ind w:left="3600" w:hanging="180"/>
      </w:pPr>
    </w:lvl>
    <w:lvl w:ilvl="6" w:tplc="0FE2BBCE" w:tentative="1">
      <w:start w:val="1"/>
      <w:numFmt w:val="decimal"/>
      <w:lvlText w:val="%7."/>
      <w:lvlJc w:val="left"/>
      <w:pPr>
        <w:tabs>
          <w:tab w:val="num" w:pos="4320"/>
        </w:tabs>
        <w:ind w:left="4320" w:hanging="360"/>
      </w:pPr>
    </w:lvl>
    <w:lvl w:ilvl="7" w:tplc="82B603AA" w:tentative="1">
      <w:start w:val="1"/>
      <w:numFmt w:val="lowerLetter"/>
      <w:lvlText w:val="%8."/>
      <w:lvlJc w:val="left"/>
      <w:pPr>
        <w:tabs>
          <w:tab w:val="num" w:pos="5040"/>
        </w:tabs>
        <w:ind w:left="5040" w:hanging="360"/>
      </w:pPr>
    </w:lvl>
    <w:lvl w:ilvl="8" w:tplc="F84E8B20" w:tentative="1">
      <w:start w:val="1"/>
      <w:numFmt w:val="lowerRoman"/>
      <w:lvlText w:val="%9."/>
      <w:lvlJc w:val="right"/>
      <w:pPr>
        <w:tabs>
          <w:tab w:val="num" w:pos="5760"/>
        </w:tabs>
        <w:ind w:left="5760" w:hanging="180"/>
      </w:pPr>
    </w:lvl>
  </w:abstractNum>
  <w:abstractNum w:abstractNumId="6" w15:restartNumberingAfterBreak="0">
    <w:nsid w:val="191315B5"/>
    <w:multiLevelType w:val="hybridMultilevel"/>
    <w:tmpl w:val="1EC4C7B8"/>
    <w:lvl w:ilvl="0" w:tplc="8DA8CA4A">
      <w:start w:val="1"/>
      <w:numFmt w:val="upperRoman"/>
      <w:lvlText w:val="%1."/>
      <w:lvlJc w:val="right"/>
      <w:pPr>
        <w:ind w:left="720" w:hanging="360"/>
      </w:pPr>
    </w:lvl>
    <w:lvl w:ilvl="1" w:tplc="F3382FE4" w:tentative="1">
      <w:start w:val="1"/>
      <w:numFmt w:val="lowerLetter"/>
      <w:lvlText w:val="%2."/>
      <w:lvlJc w:val="left"/>
      <w:pPr>
        <w:ind w:left="1440" w:hanging="360"/>
      </w:pPr>
    </w:lvl>
    <w:lvl w:ilvl="2" w:tplc="877E88CE" w:tentative="1">
      <w:start w:val="1"/>
      <w:numFmt w:val="lowerRoman"/>
      <w:lvlText w:val="%3."/>
      <w:lvlJc w:val="right"/>
      <w:pPr>
        <w:ind w:left="2160" w:hanging="180"/>
      </w:pPr>
    </w:lvl>
    <w:lvl w:ilvl="3" w:tplc="EA72D0F6" w:tentative="1">
      <w:start w:val="1"/>
      <w:numFmt w:val="decimal"/>
      <w:lvlText w:val="%4."/>
      <w:lvlJc w:val="left"/>
      <w:pPr>
        <w:ind w:left="2880" w:hanging="360"/>
      </w:pPr>
    </w:lvl>
    <w:lvl w:ilvl="4" w:tplc="FA1EE08E" w:tentative="1">
      <w:start w:val="1"/>
      <w:numFmt w:val="lowerLetter"/>
      <w:lvlText w:val="%5."/>
      <w:lvlJc w:val="left"/>
      <w:pPr>
        <w:ind w:left="3600" w:hanging="360"/>
      </w:pPr>
    </w:lvl>
    <w:lvl w:ilvl="5" w:tplc="30DCDA18" w:tentative="1">
      <w:start w:val="1"/>
      <w:numFmt w:val="lowerRoman"/>
      <w:lvlText w:val="%6."/>
      <w:lvlJc w:val="right"/>
      <w:pPr>
        <w:ind w:left="4320" w:hanging="180"/>
      </w:pPr>
    </w:lvl>
    <w:lvl w:ilvl="6" w:tplc="65C0DFD0" w:tentative="1">
      <w:start w:val="1"/>
      <w:numFmt w:val="decimal"/>
      <w:lvlText w:val="%7."/>
      <w:lvlJc w:val="left"/>
      <w:pPr>
        <w:ind w:left="5040" w:hanging="360"/>
      </w:pPr>
    </w:lvl>
    <w:lvl w:ilvl="7" w:tplc="D48CA28C" w:tentative="1">
      <w:start w:val="1"/>
      <w:numFmt w:val="lowerLetter"/>
      <w:lvlText w:val="%8."/>
      <w:lvlJc w:val="left"/>
      <w:pPr>
        <w:ind w:left="5760" w:hanging="360"/>
      </w:pPr>
    </w:lvl>
    <w:lvl w:ilvl="8" w:tplc="47E48870" w:tentative="1">
      <w:start w:val="1"/>
      <w:numFmt w:val="lowerRoman"/>
      <w:lvlText w:val="%9."/>
      <w:lvlJc w:val="right"/>
      <w:pPr>
        <w:ind w:left="6480" w:hanging="180"/>
      </w:pPr>
    </w:lvl>
  </w:abstractNum>
  <w:abstractNum w:abstractNumId="7" w15:restartNumberingAfterBreak="0">
    <w:nsid w:val="26B35A53"/>
    <w:multiLevelType w:val="hybridMultilevel"/>
    <w:tmpl w:val="0624079A"/>
    <w:lvl w:ilvl="0" w:tplc="8DA8CA4A">
      <w:start w:val="1"/>
      <w:numFmt w:val="upperRoman"/>
      <w:lvlText w:val="%1."/>
      <w:lvlJc w:val="right"/>
      <w:pPr>
        <w:ind w:left="4680" w:hanging="360"/>
      </w:p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8" w15:restartNumberingAfterBreak="0">
    <w:nsid w:val="34AE347E"/>
    <w:multiLevelType w:val="multilevel"/>
    <w:tmpl w:val="ADFAF022"/>
    <w:lvl w:ilvl="0">
      <w:start w:val="1"/>
      <w:numFmt w:val="upperRoman"/>
      <w:pStyle w:val="Heading1"/>
      <w:lvlText w:val="%1."/>
      <w:lvlJc w:val="center"/>
      <w:pPr>
        <w:tabs>
          <w:tab w:val="num" w:pos="4320"/>
        </w:tabs>
        <w:ind w:left="3960" w:firstLine="0"/>
      </w:pPr>
      <w:rPr>
        <w:rFonts w:ascii="Times New Roman" w:hAnsi="Times New Roman" w:hint="default"/>
        <w:b/>
        <w:i w:val="0"/>
        <w:sz w:val="24"/>
      </w:rPr>
    </w:lvl>
    <w:lvl w:ilvl="1">
      <w:start w:val="1"/>
      <w:numFmt w:val="upperLetter"/>
      <w:pStyle w:val="Heading2"/>
      <w:lvlText w:val="%2."/>
      <w:lvlJc w:val="center"/>
      <w:pPr>
        <w:tabs>
          <w:tab w:val="num" w:pos="2340"/>
        </w:tabs>
        <w:ind w:left="1980" w:firstLine="0"/>
      </w:pPr>
      <w:rPr>
        <w:rFonts w:hint="default"/>
      </w:rPr>
    </w:lvl>
    <w:lvl w:ilvl="2">
      <w:start w:val="1"/>
      <w:numFmt w:val="decimal"/>
      <w:pStyle w:val="Heading3"/>
      <w:lvlText w:val="%3."/>
      <w:lvlJc w:val="left"/>
      <w:pPr>
        <w:tabs>
          <w:tab w:val="num" w:pos="2340"/>
        </w:tabs>
        <w:ind w:left="2340" w:hanging="360"/>
      </w:pPr>
      <w:rPr>
        <w:rFonts w:hint="default"/>
      </w:rPr>
    </w:lvl>
    <w:lvl w:ilvl="3">
      <w:start w:val="1"/>
      <w:numFmt w:val="lowerLetter"/>
      <w:pStyle w:val="Heading4"/>
      <w:lvlText w:val="%4."/>
      <w:lvlJc w:val="left"/>
      <w:pPr>
        <w:tabs>
          <w:tab w:val="num" w:pos="2340"/>
        </w:tabs>
        <w:ind w:left="2340" w:hanging="360"/>
      </w:pPr>
      <w:rPr>
        <w:rFonts w:hint="default"/>
      </w:rPr>
    </w:lvl>
    <w:lvl w:ilvl="4">
      <w:start w:val="1"/>
      <w:numFmt w:val="lowerRoman"/>
      <w:pStyle w:val="Heading5"/>
      <w:lvlText w:val="(%5)"/>
      <w:lvlJc w:val="left"/>
      <w:pPr>
        <w:tabs>
          <w:tab w:val="num" w:pos="2700"/>
        </w:tabs>
        <w:ind w:left="2700" w:hanging="360"/>
      </w:pPr>
      <w:rPr>
        <w:rFonts w:hint="default"/>
      </w:rPr>
    </w:lvl>
    <w:lvl w:ilvl="5">
      <w:start w:val="1"/>
      <w:numFmt w:val="decimal"/>
      <w:pStyle w:val="Heading6"/>
      <w:lvlText w:val="(%6)"/>
      <w:lvlJc w:val="left"/>
      <w:pPr>
        <w:tabs>
          <w:tab w:val="num" w:pos="2700"/>
        </w:tabs>
        <w:ind w:left="2700" w:hanging="360"/>
      </w:pPr>
      <w:rPr>
        <w:rFonts w:hint="default"/>
      </w:rPr>
    </w:lvl>
    <w:lvl w:ilvl="6">
      <w:start w:val="1"/>
      <w:numFmt w:val="none"/>
      <w:pStyle w:val="Heading7"/>
      <w:suff w:val="nothing"/>
      <w:lvlText w:val="%7"/>
      <w:lvlJc w:val="left"/>
      <w:pPr>
        <w:ind w:left="1980" w:firstLine="0"/>
      </w:pPr>
      <w:rPr>
        <w:rFonts w:hint="default"/>
      </w:rPr>
    </w:lvl>
    <w:lvl w:ilvl="7">
      <w:start w:val="1"/>
      <w:numFmt w:val="decimal"/>
      <w:lvlRestart w:val="3"/>
      <w:pStyle w:val="Heading8"/>
      <w:lvlText w:val="%8."/>
      <w:lvlJc w:val="left"/>
      <w:pPr>
        <w:tabs>
          <w:tab w:val="num" w:pos="2340"/>
        </w:tabs>
        <w:ind w:left="1980" w:firstLine="0"/>
      </w:pPr>
      <w:rPr>
        <w:rFonts w:hint="default"/>
      </w:rPr>
    </w:lvl>
    <w:lvl w:ilvl="8">
      <w:start w:val="1"/>
      <w:numFmt w:val="lowerLetter"/>
      <w:pStyle w:val="Heading9"/>
      <w:lvlText w:val="%9."/>
      <w:lvlJc w:val="left"/>
      <w:pPr>
        <w:tabs>
          <w:tab w:val="num" w:pos="2340"/>
        </w:tabs>
        <w:ind w:left="1980" w:firstLine="0"/>
      </w:pPr>
      <w:rPr>
        <w:rFonts w:hint="default"/>
      </w:rPr>
    </w:lvl>
  </w:abstractNum>
  <w:abstractNum w:abstractNumId="9" w15:restartNumberingAfterBreak="0">
    <w:nsid w:val="38E96F2E"/>
    <w:multiLevelType w:val="multilevel"/>
    <w:tmpl w:val="394C657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3EC5442D"/>
    <w:multiLevelType w:val="singleLevel"/>
    <w:tmpl w:val="010203BE"/>
    <w:lvl w:ilvl="0">
      <w:start w:val="1"/>
      <w:numFmt w:val="decimal"/>
      <w:lvlText w:val="%1."/>
      <w:legacy w:legacy="1" w:legacySpace="0" w:legacyIndent="360"/>
      <w:lvlJc w:val="left"/>
      <w:pPr>
        <w:ind w:left="360" w:hanging="360"/>
      </w:pPr>
      <w:rPr>
        <w:vertAlign w:val="baseline"/>
      </w:rPr>
    </w:lvl>
  </w:abstractNum>
  <w:abstractNum w:abstractNumId="11" w15:restartNumberingAfterBreak="0">
    <w:nsid w:val="5FF6204A"/>
    <w:multiLevelType w:val="hybridMultilevel"/>
    <w:tmpl w:val="5F64109C"/>
    <w:lvl w:ilvl="0" w:tplc="EEACC430">
      <w:start w:val="1"/>
      <w:numFmt w:val="decimal"/>
      <w:pStyle w:val="ThresholdIssue"/>
      <w:lvlText w:val="%1."/>
      <w:lvlJc w:val="left"/>
      <w:pPr>
        <w:tabs>
          <w:tab w:val="num" w:pos="720"/>
        </w:tabs>
        <w:ind w:left="720" w:hanging="720"/>
      </w:pPr>
      <w:rPr>
        <w:rFonts w:hint="default"/>
        <w:b/>
      </w:rPr>
    </w:lvl>
    <w:lvl w:ilvl="1" w:tplc="F732F7D2" w:tentative="1">
      <w:start w:val="1"/>
      <w:numFmt w:val="lowerLetter"/>
      <w:lvlText w:val="%2."/>
      <w:lvlJc w:val="left"/>
      <w:pPr>
        <w:tabs>
          <w:tab w:val="num" w:pos="720"/>
        </w:tabs>
        <w:ind w:left="720" w:hanging="360"/>
      </w:pPr>
    </w:lvl>
    <w:lvl w:ilvl="2" w:tplc="FC36276C" w:tentative="1">
      <w:start w:val="1"/>
      <w:numFmt w:val="lowerRoman"/>
      <w:lvlText w:val="%3."/>
      <w:lvlJc w:val="right"/>
      <w:pPr>
        <w:tabs>
          <w:tab w:val="num" w:pos="1440"/>
        </w:tabs>
        <w:ind w:left="1440" w:hanging="180"/>
      </w:pPr>
    </w:lvl>
    <w:lvl w:ilvl="3" w:tplc="C8BA380A" w:tentative="1">
      <w:start w:val="1"/>
      <w:numFmt w:val="decimal"/>
      <w:lvlText w:val="%4."/>
      <w:lvlJc w:val="left"/>
      <w:pPr>
        <w:tabs>
          <w:tab w:val="num" w:pos="2160"/>
        </w:tabs>
        <w:ind w:left="2160" w:hanging="360"/>
      </w:pPr>
    </w:lvl>
    <w:lvl w:ilvl="4" w:tplc="641CE4F0" w:tentative="1">
      <w:start w:val="1"/>
      <w:numFmt w:val="lowerLetter"/>
      <w:lvlText w:val="%5."/>
      <w:lvlJc w:val="left"/>
      <w:pPr>
        <w:tabs>
          <w:tab w:val="num" w:pos="2880"/>
        </w:tabs>
        <w:ind w:left="2880" w:hanging="360"/>
      </w:pPr>
    </w:lvl>
    <w:lvl w:ilvl="5" w:tplc="6860C98C" w:tentative="1">
      <w:start w:val="1"/>
      <w:numFmt w:val="lowerRoman"/>
      <w:lvlText w:val="%6."/>
      <w:lvlJc w:val="right"/>
      <w:pPr>
        <w:tabs>
          <w:tab w:val="num" w:pos="3600"/>
        </w:tabs>
        <w:ind w:left="3600" w:hanging="180"/>
      </w:pPr>
    </w:lvl>
    <w:lvl w:ilvl="6" w:tplc="BC664910" w:tentative="1">
      <w:start w:val="1"/>
      <w:numFmt w:val="decimal"/>
      <w:lvlText w:val="%7."/>
      <w:lvlJc w:val="left"/>
      <w:pPr>
        <w:tabs>
          <w:tab w:val="num" w:pos="4320"/>
        </w:tabs>
        <w:ind w:left="4320" w:hanging="360"/>
      </w:pPr>
    </w:lvl>
    <w:lvl w:ilvl="7" w:tplc="6BF2A85E" w:tentative="1">
      <w:start w:val="1"/>
      <w:numFmt w:val="lowerLetter"/>
      <w:lvlText w:val="%8."/>
      <w:lvlJc w:val="left"/>
      <w:pPr>
        <w:tabs>
          <w:tab w:val="num" w:pos="5040"/>
        </w:tabs>
        <w:ind w:left="5040" w:hanging="360"/>
      </w:pPr>
    </w:lvl>
    <w:lvl w:ilvl="8" w:tplc="B3A8DFAA" w:tentative="1">
      <w:start w:val="1"/>
      <w:numFmt w:val="lowerRoman"/>
      <w:lvlText w:val="%9."/>
      <w:lvlJc w:val="right"/>
      <w:pPr>
        <w:tabs>
          <w:tab w:val="num" w:pos="5760"/>
        </w:tabs>
        <w:ind w:left="5760" w:hanging="180"/>
      </w:pPr>
    </w:lvl>
  </w:abstractNum>
  <w:abstractNum w:abstractNumId="12" w15:restartNumberingAfterBreak="0">
    <w:nsid w:val="65CF79AF"/>
    <w:multiLevelType w:val="hybridMultilevel"/>
    <w:tmpl w:val="0EE827AC"/>
    <w:lvl w:ilvl="0" w:tplc="7DA0DD98">
      <w:start w:val="1"/>
      <w:numFmt w:val="decimal"/>
      <w:pStyle w:val="StyleItemListBefore12pt"/>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DB5A5C"/>
    <w:multiLevelType w:val="hybridMultilevel"/>
    <w:tmpl w:val="FAE01C62"/>
    <w:lvl w:ilvl="0" w:tplc="EF1A6DA0">
      <w:start w:val="1"/>
      <w:numFmt w:val="upperRoman"/>
      <w:lvlText w:val="%1."/>
      <w:lvlJc w:val="left"/>
      <w:pPr>
        <w:ind w:left="4320" w:hanging="720"/>
      </w:pPr>
      <w:rPr>
        <w:rFonts w:hint="default"/>
      </w:rPr>
    </w:lvl>
    <w:lvl w:ilvl="1" w:tplc="04090019" w:tentative="1">
      <w:start w:val="1"/>
      <w:numFmt w:val="lowerLetter"/>
      <w:lvlText w:val="%2."/>
      <w:lvlJc w:val="left"/>
      <w:pPr>
        <w:ind w:left="4680" w:hanging="360"/>
      </w:pPr>
    </w:lvl>
    <w:lvl w:ilvl="2" w:tplc="0409001B" w:tentative="1">
      <w:start w:val="1"/>
      <w:numFmt w:val="lowerRoman"/>
      <w:lvlText w:val="%3."/>
      <w:lvlJc w:val="right"/>
      <w:pPr>
        <w:ind w:left="5400" w:hanging="180"/>
      </w:pPr>
    </w:lvl>
    <w:lvl w:ilvl="3" w:tplc="0409000F" w:tentative="1">
      <w:start w:val="1"/>
      <w:numFmt w:val="decimal"/>
      <w:lvlText w:val="%4."/>
      <w:lvlJc w:val="left"/>
      <w:pPr>
        <w:ind w:left="6120" w:hanging="360"/>
      </w:pPr>
    </w:lvl>
    <w:lvl w:ilvl="4" w:tplc="04090019" w:tentative="1">
      <w:start w:val="1"/>
      <w:numFmt w:val="lowerLetter"/>
      <w:lvlText w:val="%5."/>
      <w:lvlJc w:val="left"/>
      <w:pPr>
        <w:ind w:left="6840" w:hanging="360"/>
      </w:pPr>
    </w:lvl>
    <w:lvl w:ilvl="5" w:tplc="0409001B" w:tentative="1">
      <w:start w:val="1"/>
      <w:numFmt w:val="lowerRoman"/>
      <w:lvlText w:val="%6."/>
      <w:lvlJc w:val="right"/>
      <w:pPr>
        <w:ind w:left="7560" w:hanging="180"/>
      </w:pPr>
    </w:lvl>
    <w:lvl w:ilvl="6" w:tplc="0409000F" w:tentative="1">
      <w:start w:val="1"/>
      <w:numFmt w:val="decimal"/>
      <w:lvlText w:val="%7."/>
      <w:lvlJc w:val="left"/>
      <w:pPr>
        <w:ind w:left="8280" w:hanging="360"/>
      </w:pPr>
    </w:lvl>
    <w:lvl w:ilvl="7" w:tplc="04090019" w:tentative="1">
      <w:start w:val="1"/>
      <w:numFmt w:val="lowerLetter"/>
      <w:lvlText w:val="%8."/>
      <w:lvlJc w:val="left"/>
      <w:pPr>
        <w:ind w:left="9000" w:hanging="360"/>
      </w:pPr>
    </w:lvl>
    <w:lvl w:ilvl="8" w:tplc="0409001B" w:tentative="1">
      <w:start w:val="1"/>
      <w:numFmt w:val="lowerRoman"/>
      <w:lvlText w:val="%9."/>
      <w:lvlJc w:val="right"/>
      <w:pPr>
        <w:ind w:left="9720" w:hanging="180"/>
      </w:pPr>
    </w:lvl>
  </w:abstractNum>
  <w:abstractNum w:abstractNumId="14" w15:restartNumberingAfterBreak="0">
    <w:nsid w:val="66470E5C"/>
    <w:multiLevelType w:val="hybridMultilevel"/>
    <w:tmpl w:val="1B1C662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66B6E08"/>
    <w:multiLevelType w:val="hybridMultilevel"/>
    <w:tmpl w:val="0C4E73D2"/>
    <w:lvl w:ilvl="0" w:tplc="86D056AE">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FA62C6"/>
    <w:multiLevelType w:val="hybridMultilevel"/>
    <w:tmpl w:val="F9D88EA8"/>
    <w:lvl w:ilvl="0" w:tplc="2F80871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8"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9" w15:restartNumberingAfterBreak="0">
    <w:nsid w:val="7A74787B"/>
    <w:multiLevelType w:val="singleLevel"/>
    <w:tmpl w:val="010203BE"/>
    <w:lvl w:ilvl="0">
      <w:start w:val="1"/>
      <w:numFmt w:val="decimal"/>
      <w:lvlText w:val="%1."/>
      <w:legacy w:legacy="1" w:legacySpace="0" w:legacyIndent="360"/>
      <w:lvlJc w:val="left"/>
      <w:pPr>
        <w:ind w:left="360" w:hanging="360"/>
      </w:pPr>
      <w:rPr>
        <w:vertAlign w:val="baseline"/>
      </w:rPr>
    </w:lvl>
  </w:abstractNum>
  <w:num w:numId="1">
    <w:abstractNumId w:val="6"/>
  </w:num>
  <w:num w:numId="2">
    <w:abstractNumId w:val="8"/>
  </w:num>
  <w:num w:numId="3">
    <w:abstractNumId w:val="2"/>
  </w:num>
  <w:num w:numId="4">
    <w:abstractNumId w:val="18"/>
  </w:num>
  <w:num w:numId="5">
    <w:abstractNumId w:val="8"/>
  </w:num>
  <w:num w:numId="6">
    <w:abstractNumId w:val="15"/>
  </w:num>
  <w:num w:numId="7">
    <w:abstractNumId w:val="17"/>
  </w:num>
  <w:num w:numId="8">
    <w:abstractNumId w:val="0"/>
  </w:num>
  <w:num w:numId="9">
    <w:abstractNumId w:val="11"/>
  </w:num>
  <w:num w:numId="10">
    <w:abstractNumId w:val="9"/>
  </w:num>
  <w:num w:numId="11">
    <w:abstractNumId w:val="5"/>
  </w:num>
  <w:num w:numId="12">
    <w:abstractNumId w:val="12"/>
  </w:num>
  <w:num w:numId="13">
    <w:abstractNumId w:val="8"/>
    <w:lvlOverride w:ilvl="0">
      <w:startOverride w:val="1"/>
    </w:lvlOverride>
  </w:num>
  <w:num w:numId="14">
    <w:abstractNumId w:val="13"/>
  </w:num>
  <w:num w:numId="15">
    <w:abstractNumId w:val="4"/>
  </w:num>
  <w:num w:numId="16">
    <w:abstractNumId w:val="10"/>
  </w:num>
  <w:num w:numId="17">
    <w:abstractNumId w:val="1"/>
  </w:num>
  <w:num w:numId="18">
    <w:abstractNumId w:val="16"/>
  </w:num>
  <w:num w:numId="19">
    <w:abstractNumId w:val="14"/>
  </w:num>
  <w:num w:numId="20">
    <w:abstractNumId w:val="19"/>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8FC"/>
    <w:rsid w:val="000608FC"/>
    <w:rsid w:val="000E5DBE"/>
    <w:rsid w:val="001169CA"/>
    <w:rsid w:val="00160DCD"/>
    <w:rsid w:val="00193735"/>
    <w:rsid w:val="001E360C"/>
    <w:rsid w:val="001F10CC"/>
    <w:rsid w:val="00266F9F"/>
    <w:rsid w:val="00312838"/>
    <w:rsid w:val="003F602C"/>
    <w:rsid w:val="00433B5E"/>
    <w:rsid w:val="00460626"/>
    <w:rsid w:val="00462EF3"/>
    <w:rsid w:val="0046644C"/>
    <w:rsid w:val="004A1312"/>
    <w:rsid w:val="004E082A"/>
    <w:rsid w:val="00516EDA"/>
    <w:rsid w:val="005C3512"/>
    <w:rsid w:val="00604A1C"/>
    <w:rsid w:val="0062202F"/>
    <w:rsid w:val="0067692D"/>
    <w:rsid w:val="00677B5E"/>
    <w:rsid w:val="006E6628"/>
    <w:rsid w:val="006F2036"/>
    <w:rsid w:val="007572FC"/>
    <w:rsid w:val="00793007"/>
    <w:rsid w:val="007A4197"/>
    <w:rsid w:val="007D618F"/>
    <w:rsid w:val="0080046C"/>
    <w:rsid w:val="008738BF"/>
    <w:rsid w:val="008A3090"/>
    <w:rsid w:val="008B7933"/>
    <w:rsid w:val="008D1724"/>
    <w:rsid w:val="009727E0"/>
    <w:rsid w:val="009C1919"/>
    <w:rsid w:val="00A02AD9"/>
    <w:rsid w:val="00A035EA"/>
    <w:rsid w:val="00A40798"/>
    <w:rsid w:val="00B12AC5"/>
    <w:rsid w:val="00B22348"/>
    <w:rsid w:val="00B71CA8"/>
    <w:rsid w:val="00C54659"/>
    <w:rsid w:val="00CF4B99"/>
    <w:rsid w:val="00D03394"/>
    <w:rsid w:val="00D12B50"/>
    <w:rsid w:val="00D1503F"/>
    <w:rsid w:val="00D451DC"/>
    <w:rsid w:val="00D706B4"/>
    <w:rsid w:val="00DF1D74"/>
    <w:rsid w:val="00E532FB"/>
    <w:rsid w:val="00E930F3"/>
    <w:rsid w:val="00EB2705"/>
    <w:rsid w:val="00EB3FB6"/>
    <w:rsid w:val="00EC0C9F"/>
    <w:rsid w:val="00ED04FC"/>
    <w:rsid w:val="00EE5DDA"/>
    <w:rsid w:val="00F01CB2"/>
    <w:rsid w:val="00F20BAE"/>
    <w:rsid w:val="00F24715"/>
    <w:rsid w:val="00F82A95"/>
    <w:rsid w:val="00FA1E83"/>
    <w:rsid w:val="00FB53FF"/>
    <w:rsid w:val="00FE4318"/>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53F1F556-E678-49FA-891F-1F667B132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qFormat="1"/>
    <w:lsdException w:name="heading 8" w:semiHidden="1" w:uiPriority="0" w:unhideWhenUsed="1"/>
    <w:lsdException w:name="heading 9" w:uiPriority="0"/>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qFormat/>
    <w:rsid w:val="001169CA"/>
    <w:pPr>
      <w:ind w:left="0" w:firstLine="0"/>
    </w:pPr>
  </w:style>
  <w:style w:type="paragraph" w:customStyle="1" w:styleId="COLNumbered">
    <w:name w:val="COL Numbered"/>
    <w:basedOn w:val="FOFNumbered"/>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Subtitle">
    <w:name w:val="Subtitle"/>
    <w:basedOn w:val="Normal"/>
    <w:link w:val="SubtitleChar"/>
    <w:qFormat/>
    <w:rsid w:val="006F2036"/>
    <w:pPr>
      <w:spacing w:line="360" w:lineRule="auto"/>
      <w:jc w:val="center"/>
    </w:pPr>
    <w:rPr>
      <w:rFonts w:eastAsia="Times New Roman"/>
      <w:b/>
      <w:szCs w:val="20"/>
    </w:rPr>
  </w:style>
  <w:style w:type="character" w:customStyle="1" w:styleId="SubtitleChar">
    <w:name w:val="Subtitle Char"/>
    <w:basedOn w:val="DefaultParagraphFont"/>
    <w:link w:val="Subtitle"/>
    <w:rsid w:val="006F2036"/>
    <w:rPr>
      <w:rFonts w:eastAsia="Times New Roman"/>
      <w:b/>
      <w:szCs w:val="20"/>
    </w:rPr>
  </w:style>
  <w:style w:type="paragraph" w:customStyle="1" w:styleId="ThresholdIssue">
    <w:name w:val="Threshold Issue"/>
    <w:basedOn w:val="Heading3"/>
    <w:next w:val="BodyText"/>
    <w:qFormat/>
    <w:rsid w:val="006F2036"/>
    <w:pPr>
      <w:keepLines w:val="0"/>
      <w:numPr>
        <w:ilvl w:val="0"/>
        <w:numId w:val="9"/>
      </w:numPr>
      <w:spacing w:before="0" w:after="120"/>
    </w:pPr>
    <w:rPr>
      <w:rFonts w:eastAsia="Times New Roman" w:cs="Times New Roman"/>
      <w:snapToGrid w:val="0"/>
    </w:rPr>
  </w:style>
  <w:style w:type="paragraph" w:customStyle="1" w:styleId="IssueList">
    <w:name w:val="Issue List"/>
    <w:basedOn w:val="FOFNumbered"/>
    <w:qFormat/>
    <w:rsid w:val="006F2036"/>
    <w:pPr>
      <w:numPr>
        <w:numId w:val="3"/>
      </w:numPr>
    </w:pPr>
  </w:style>
  <w:style w:type="paragraph" w:customStyle="1" w:styleId="IssueNotList">
    <w:name w:val="Issue Not List"/>
    <w:basedOn w:val="COLNumbered"/>
    <w:next w:val="BodyText"/>
    <w:qFormat/>
    <w:rsid w:val="006F2036"/>
    <w:pPr>
      <w:tabs>
        <w:tab w:val="num" w:pos="720"/>
      </w:tabs>
    </w:pPr>
    <w:rPr>
      <w:b/>
      <w:i/>
    </w:rPr>
  </w:style>
  <w:style w:type="paragraph" w:customStyle="1" w:styleId="Issuesublist">
    <w:name w:val="Issue sub list"/>
    <w:basedOn w:val="Normal"/>
    <w:qFormat/>
    <w:rsid w:val="00460626"/>
    <w:pPr>
      <w:numPr>
        <w:ilvl w:val="1"/>
        <w:numId w:val="3"/>
      </w:numPr>
      <w:spacing w:after="120" w:line="360" w:lineRule="auto"/>
      <w:jc w:val="both"/>
    </w:pPr>
    <w:rPr>
      <w:rFonts w:eastAsia="Times New Roman"/>
      <w:szCs w:val="20"/>
    </w:rPr>
  </w:style>
  <w:style w:type="paragraph" w:customStyle="1" w:styleId="Issuesub2list">
    <w:name w:val="Issue sub2 list"/>
    <w:basedOn w:val="Normal"/>
    <w:qFormat/>
    <w:rsid w:val="00460626"/>
    <w:pPr>
      <w:numPr>
        <w:ilvl w:val="2"/>
        <w:numId w:val="3"/>
      </w:numPr>
      <w:spacing w:after="120" w:line="360" w:lineRule="auto"/>
      <w:jc w:val="both"/>
    </w:pPr>
    <w:rPr>
      <w:rFonts w:eastAsia="Times New Roman"/>
      <w:szCs w:val="20"/>
    </w:rPr>
  </w:style>
  <w:style w:type="paragraph" w:customStyle="1" w:styleId="Version">
    <w:name w:val="Version"/>
    <w:basedOn w:val="Normal"/>
    <w:link w:val="VersionChar"/>
    <w:qFormat/>
    <w:rsid w:val="00460626"/>
    <w:pPr>
      <w:spacing w:before="120" w:after="120"/>
    </w:pPr>
    <w:rPr>
      <w:b/>
    </w:rPr>
  </w:style>
  <w:style w:type="character" w:customStyle="1" w:styleId="VersionChar">
    <w:name w:val="Version Char"/>
    <w:basedOn w:val="DefaultParagraphFont"/>
    <w:link w:val="Version"/>
    <w:rsid w:val="00460626"/>
    <w:rPr>
      <w:b/>
    </w:rPr>
  </w:style>
  <w:style w:type="paragraph" w:customStyle="1" w:styleId="StyleItemListBefore12pt">
    <w:name w:val="Style Item List + Before:  12 pt"/>
    <w:basedOn w:val="Normal"/>
    <w:rsid w:val="008A3090"/>
    <w:pPr>
      <w:numPr>
        <w:numId w:val="12"/>
      </w:numPr>
      <w:spacing w:before="240" w:line="360" w:lineRule="auto"/>
      <w:jc w:val="both"/>
    </w:pPr>
    <w:rPr>
      <w:rFonts w:eastAsia="Times New Roman"/>
      <w:szCs w:val="20"/>
    </w:rPr>
  </w:style>
  <w:style w:type="paragraph" w:customStyle="1" w:styleId="ItemList">
    <w:name w:val="Item List"/>
    <w:basedOn w:val="Normal"/>
    <w:rsid w:val="00193735"/>
    <w:pPr>
      <w:spacing w:before="360" w:line="360" w:lineRule="auto"/>
      <w:ind w:left="720" w:hanging="720"/>
      <w:jc w:val="both"/>
    </w:pPr>
    <w:rPr>
      <w:rFonts w:eastAsia="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prelim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B34579-7329-4F30-95E0-19D308AB7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prelimorder2013</Template>
  <TotalTime>202</TotalTime>
  <Pages>8</Pages>
  <Words>1649</Words>
  <Characters>9403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Kramer, John</dc:creator>
  <cp:keywords/>
  <dc:description/>
  <cp:lastModifiedBy>Kramer, John</cp:lastModifiedBy>
  <cp:revision>13</cp:revision>
  <cp:lastPrinted>2017-01-05T19:34:00Z</cp:lastPrinted>
  <dcterms:created xsi:type="dcterms:W3CDTF">2017-01-03T14:38:00Z</dcterms:created>
  <dcterms:modified xsi:type="dcterms:W3CDTF">2017-01-05T19:34:00Z</dcterms:modified>
</cp:coreProperties>
</file>